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68" w:rsidRDefault="00522097">
      <w:pPr>
        <w:pStyle w:val="RBNBasicNoSpace"/>
        <w:jc w:val="center"/>
        <w:rPr>
          <w:b/>
          <w:sz w:val="28"/>
          <w:szCs w:val="28"/>
        </w:rPr>
      </w:pPr>
      <w:r>
        <w:rPr>
          <w:b/>
          <w:sz w:val="28"/>
          <w:szCs w:val="28"/>
        </w:rPr>
        <w:t>FDA and the First Amendment, a Dialogue at Last?</w:t>
      </w:r>
      <w:r w:rsidR="0017672F" w:rsidRPr="0017672F">
        <w:rPr>
          <w:b/>
          <w:sz w:val="28"/>
          <w:szCs w:val="28"/>
        </w:rPr>
        <w:t xml:space="preserve"> </w:t>
      </w:r>
    </w:p>
    <w:p w:rsidR="00C22468" w:rsidRDefault="00522097">
      <w:pPr>
        <w:pStyle w:val="RBNBasicNoSpace"/>
        <w:jc w:val="center"/>
        <w:rPr>
          <w:b/>
          <w:sz w:val="28"/>
          <w:szCs w:val="28"/>
        </w:rPr>
      </w:pPr>
      <w:r>
        <w:rPr>
          <w:b/>
          <w:sz w:val="28"/>
          <w:szCs w:val="28"/>
        </w:rPr>
        <w:t>By Douglas Hallward-Driemeier</w:t>
      </w:r>
      <w:r w:rsidR="0017672F">
        <w:rPr>
          <w:rStyle w:val="FootnoteReference"/>
          <w:b/>
          <w:sz w:val="28"/>
          <w:szCs w:val="28"/>
        </w:rPr>
        <w:footnoteReference w:id="1"/>
      </w:r>
    </w:p>
    <w:p w:rsidR="00C22468" w:rsidRDefault="00C22468">
      <w:pPr>
        <w:pStyle w:val="RBNBasicNoSpace"/>
        <w:jc w:val="center"/>
        <w:rPr>
          <w:b/>
          <w:sz w:val="28"/>
          <w:szCs w:val="28"/>
        </w:rPr>
      </w:pPr>
    </w:p>
    <w:p w:rsidR="00FA2245" w:rsidRDefault="00FA2245">
      <w:pPr>
        <w:pStyle w:val="RBNBasicNoSpace"/>
        <w:spacing w:line="480" w:lineRule="auto"/>
        <w:ind w:firstLine="720"/>
        <w:rPr>
          <w:sz w:val="28"/>
          <w:szCs w:val="28"/>
        </w:rPr>
      </w:pPr>
      <w:r>
        <w:rPr>
          <w:sz w:val="28"/>
          <w:szCs w:val="28"/>
        </w:rPr>
        <w:t xml:space="preserve">Many of us have been following the recent Amarin litigation, which held that FDA could not, consistent with the First Amendment, preclude Amarin from making truthful and non-misleading statements about the effectiveness of its drug, </w:t>
      </w:r>
      <w:proofErr w:type="spellStart"/>
      <w:r>
        <w:rPr>
          <w:sz w:val="28"/>
          <w:szCs w:val="28"/>
        </w:rPr>
        <w:t>Vascepa</w:t>
      </w:r>
      <w:proofErr w:type="spellEnd"/>
      <w:r>
        <w:rPr>
          <w:sz w:val="28"/>
          <w:szCs w:val="28"/>
        </w:rPr>
        <w:t>, for off-label use.  I wanted today to take a step bac</w:t>
      </w:r>
      <w:r w:rsidR="00DD284B">
        <w:rPr>
          <w:sz w:val="28"/>
          <w:szCs w:val="28"/>
        </w:rPr>
        <w:t>k and look more generally at the relationship between the FDA and First Amendment, how the present situation developed, where we are at present, and then to offer a few comments about where this relationship might go as we move forward.</w:t>
      </w:r>
    </w:p>
    <w:p w:rsidR="00C22468" w:rsidRDefault="00522097">
      <w:pPr>
        <w:pStyle w:val="RBNBasicNoSpace"/>
        <w:spacing w:line="480" w:lineRule="auto"/>
        <w:ind w:firstLine="720"/>
        <w:rPr>
          <w:sz w:val="28"/>
          <w:szCs w:val="28"/>
        </w:rPr>
      </w:pPr>
      <w:r>
        <w:rPr>
          <w:sz w:val="28"/>
          <w:szCs w:val="28"/>
        </w:rPr>
        <w:t xml:space="preserve">I.  </w:t>
      </w:r>
      <w:r w:rsidR="00DD284B">
        <w:rPr>
          <w:sz w:val="28"/>
          <w:szCs w:val="28"/>
          <w:u w:val="single"/>
        </w:rPr>
        <w:t>Past.</w:t>
      </w:r>
      <w:r w:rsidR="00DD284B">
        <w:rPr>
          <w:sz w:val="28"/>
          <w:szCs w:val="28"/>
        </w:rPr>
        <w:t xml:space="preserve">  </w:t>
      </w:r>
      <w:r>
        <w:rPr>
          <w:sz w:val="28"/>
          <w:szCs w:val="28"/>
        </w:rPr>
        <w:t xml:space="preserve">As Judge </w:t>
      </w:r>
      <w:proofErr w:type="spellStart"/>
      <w:r>
        <w:rPr>
          <w:sz w:val="28"/>
          <w:szCs w:val="28"/>
        </w:rPr>
        <w:t>Englemayer</w:t>
      </w:r>
      <w:proofErr w:type="spellEnd"/>
      <w:r>
        <w:rPr>
          <w:sz w:val="28"/>
          <w:szCs w:val="28"/>
        </w:rPr>
        <w:t xml:space="preserve"> observed in his recent decision in Amarin, First Amendment doctrine, and its relationship to the FDCA, has changed dramatically since the FDCA and many of its implementing regulations were adopted.  They were adopted in an era where commercial activity was widely regarded to be outside the scope of the First Amendment, and even when it became clear some First Amendment protection did apply, FDA took the position that there was very little scrutiny because the pharmaceutical industry was heavily regulated.</w:t>
      </w:r>
    </w:p>
    <w:p w:rsidR="00C22468" w:rsidRDefault="00522097" w:rsidP="00DD284B">
      <w:pPr>
        <w:pStyle w:val="RBNBasicNoSpace"/>
        <w:spacing w:line="480" w:lineRule="auto"/>
        <w:rPr>
          <w:sz w:val="28"/>
          <w:szCs w:val="28"/>
        </w:rPr>
      </w:pPr>
      <w:r>
        <w:rPr>
          <w:sz w:val="28"/>
          <w:szCs w:val="28"/>
        </w:rPr>
        <w:tab/>
        <w:t xml:space="preserve">Since that time, the Supreme Court has clarified that almost all content-based speech restrictions must survive “strict scrutiny,” a standard that requires the </w:t>
      </w:r>
      <w:r>
        <w:rPr>
          <w:sz w:val="28"/>
          <w:szCs w:val="28"/>
        </w:rPr>
        <w:lastRenderedPageBreak/>
        <w:t xml:space="preserve">government to establish a compelling government interest and that the restriction is narrowly tailored to achieve that interest.  Commercial speech has, under the Central Hudson case, been subject to a slightly lower standard referred to as “intermediate scrutiny.”  If it is truthful speech about a lawful activity, the government’s interest must be “substantial,” the restriction must directly advance the interest, and </w:t>
      </w:r>
      <w:r w:rsidR="00DD284B">
        <w:rPr>
          <w:sz w:val="28"/>
          <w:szCs w:val="28"/>
        </w:rPr>
        <w:t xml:space="preserve">must </w:t>
      </w:r>
      <w:r>
        <w:rPr>
          <w:sz w:val="28"/>
          <w:szCs w:val="28"/>
        </w:rPr>
        <w:t>not restrict significantly more speech than necessary to serv</w:t>
      </w:r>
      <w:r w:rsidR="00DD284B">
        <w:rPr>
          <w:sz w:val="28"/>
          <w:szCs w:val="28"/>
        </w:rPr>
        <w:t>e that interest.  More recent</w:t>
      </w:r>
      <w:r>
        <w:rPr>
          <w:sz w:val="28"/>
          <w:szCs w:val="28"/>
        </w:rPr>
        <w:t xml:space="preserve"> decisions</w:t>
      </w:r>
      <w:r w:rsidR="00DD284B">
        <w:rPr>
          <w:sz w:val="28"/>
          <w:szCs w:val="28"/>
        </w:rPr>
        <w:t>, including Sorrell,</w:t>
      </w:r>
      <w:r>
        <w:rPr>
          <w:sz w:val="28"/>
          <w:szCs w:val="28"/>
        </w:rPr>
        <w:t xml:space="preserve"> have cast doubt on the commercial speech exception, or at least whether it applies beyond speech proposing a commercial transaction.</w:t>
      </w:r>
      <w:r w:rsidR="00DD284B">
        <w:rPr>
          <w:sz w:val="28"/>
          <w:szCs w:val="28"/>
        </w:rPr>
        <w:t xml:space="preserve"> </w:t>
      </w:r>
    </w:p>
    <w:p w:rsidR="00C22468" w:rsidRDefault="00522097">
      <w:pPr>
        <w:pStyle w:val="RBNBasicNoSpace"/>
        <w:spacing w:line="480" w:lineRule="auto"/>
        <w:ind w:firstLine="720"/>
        <w:rPr>
          <w:sz w:val="28"/>
          <w:szCs w:val="28"/>
        </w:rPr>
      </w:pPr>
      <w:r>
        <w:rPr>
          <w:sz w:val="28"/>
          <w:szCs w:val="28"/>
        </w:rPr>
        <w:t>Throughout this development</w:t>
      </w:r>
      <w:r w:rsidR="00C15E12">
        <w:rPr>
          <w:sz w:val="28"/>
          <w:szCs w:val="28"/>
        </w:rPr>
        <w:t xml:space="preserve"> of modern commercial speech doctrine</w:t>
      </w:r>
      <w:r>
        <w:rPr>
          <w:sz w:val="28"/>
          <w:szCs w:val="28"/>
        </w:rPr>
        <w:t>, there was little consideration, at least in the form of judicial review, of how this evolving First Amendment jurisprudence applied to the FDCA and FDA’s regulations of pharmaceutical companies’ advertising and labeling.</w:t>
      </w:r>
      <w:r w:rsidR="00C15E12">
        <w:rPr>
          <w:sz w:val="28"/>
          <w:szCs w:val="28"/>
        </w:rPr>
        <w:t xml:space="preserve">  Industry participants, Congress, and the FDA were all aware of the First Amendment issues lurking behind FDA’s regulations, but there was little consideration in the courts.</w:t>
      </w:r>
    </w:p>
    <w:p w:rsidR="00C22468" w:rsidRDefault="00522097">
      <w:pPr>
        <w:pStyle w:val="RBNBasicNoSpace"/>
        <w:spacing w:line="480" w:lineRule="auto"/>
        <w:ind w:firstLine="720"/>
        <w:rPr>
          <w:sz w:val="28"/>
          <w:szCs w:val="28"/>
        </w:rPr>
      </w:pPr>
      <w:r>
        <w:rPr>
          <w:sz w:val="28"/>
          <w:szCs w:val="28"/>
        </w:rPr>
        <w:t xml:space="preserve">Why was that so?  In large part, it was because of how the </w:t>
      </w:r>
      <w:proofErr w:type="gramStart"/>
      <w:r>
        <w:rPr>
          <w:sz w:val="28"/>
          <w:szCs w:val="28"/>
        </w:rPr>
        <w:t>government proceeds in enforcing the FDCA</w:t>
      </w:r>
      <w:r w:rsidR="00BC3F5D">
        <w:rPr>
          <w:sz w:val="28"/>
          <w:szCs w:val="28"/>
        </w:rPr>
        <w:t xml:space="preserve"> – </w:t>
      </w:r>
      <w:r>
        <w:rPr>
          <w:sz w:val="28"/>
          <w:szCs w:val="28"/>
        </w:rPr>
        <w:t>through Warning Letters, the initiation of</w:t>
      </w:r>
      <w:r w:rsidR="00BC3F5D">
        <w:rPr>
          <w:sz w:val="28"/>
          <w:szCs w:val="28"/>
        </w:rPr>
        <w:t xml:space="preserve"> civil or criminal </w:t>
      </w:r>
      <w:r>
        <w:rPr>
          <w:sz w:val="28"/>
          <w:szCs w:val="28"/>
        </w:rPr>
        <w:t>DOJ investigation</w:t>
      </w:r>
      <w:r w:rsidR="00BC3F5D">
        <w:rPr>
          <w:sz w:val="28"/>
          <w:szCs w:val="28"/>
        </w:rPr>
        <w:t>s</w:t>
      </w:r>
      <w:r>
        <w:rPr>
          <w:sz w:val="28"/>
          <w:szCs w:val="28"/>
        </w:rPr>
        <w:t>, and non-binding</w:t>
      </w:r>
      <w:r w:rsidR="00BC3F5D">
        <w:rPr>
          <w:sz w:val="28"/>
          <w:szCs w:val="28"/>
        </w:rPr>
        <w:t xml:space="preserve"> and often draft</w:t>
      </w:r>
      <w:proofErr w:type="gramEnd"/>
      <w:r>
        <w:rPr>
          <w:sz w:val="28"/>
          <w:szCs w:val="28"/>
        </w:rPr>
        <w:t xml:space="preserve"> “guidance” documents </w:t>
      </w:r>
      <w:r w:rsidR="00BC3F5D">
        <w:rPr>
          <w:sz w:val="28"/>
          <w:szCs w:val="28"/>
        </w:rPr>
        <w:t xml:space="preserve">from FDA.  The FDA guidance documents generally </w:t>
      </w:r>
      <w:r>
        <w:rPr>
          <w:sz w:val="28"/>
          <w:szCs w:val="28"/>
        </w:rPr>
        <w:t xml:space="preserve">lay out </w:t>
      </w:r>
      <w:r w:rsidR="00BC3F5D">
        <w:rPr>
          <w:sz w:val="28"/>
          <w:szCs w:val="28"/>
        </w:rPr>
        <w:t xml:space="preserve">the Agency’s views on </w:t>
      </w:r>
      <w:r>
        <w:rPr>
          <w:sz w:val="28"/>
          <w:szCs w:val="28"/>
        </w:rPr>
        <w:t xml:space="preserve">enforcement discretion </w:t>
      </w:r>
      <w:r w:rsidR="00BC3F5D">
        <w:rPr>
          <w:sz w:val="28"/>
          <w:szCs w:val="28"/>
        </w:rPr>
        <w:t xml:space="preserve">in order to </w:t>
      </w:r>
      <w:r>
        <w:rPr>
          <w:sz w:val="28"/>
          <w:szCs w:val="28"/>
        </w:rPr>
        <w:t xml:space="preserve">create safe harbors for </w:t>
      </w:r>
      <w:r w:rsidR="00BC3F5D">
        <w:rPr>
          <w:sz w:val="28"/>
          <w:szCs w:val="28"/>
        </w:rPr>
        <w:lastRenderedPageBreak/>
        <w:t xml:space="preserve">otherwise prohibited </w:t>
      </w:r>
      <w:r>
        <w:rPr>
          <w:sz w:val="28"/>
          <w:szCs w:val="28"/>
        </w:rPr>
        <w:t xml:space="preserve">speech, but do not create binding, judicially enforceable standards. </w:t>
      </w:r>
    </w:p>
    <w:p w:rsidR="00C22468" w:rsidRDefault="00BC3F5D">
      <w:pPr>
        <w:pStyle w:val="RBNBasicNoSpace"/>
        <w:spacing w:line="480" w:lineRule="auto"/>
        <w:ind w:firstLine="720"/>
        <w:rPr>
          <w:sz w:val="28"/>
          <w:szCs w:val="28"/>
        </w:rPr>
      </w:pPr>
      <w:r>
        <w:rPr>
          <w:sz w:val="28"/>
          <w:szCs w:val="28"/>
        </w:rPr>
        <w:t>None of these mechanisms – Warning Letters, the opening of investigations, or non-binding guidance documents – are viewed as</w:t>
      </w:r>
      <w:r w:rsidR="00522097">
        <w:rPr>
          <w:sz w:val="28"/>
          <w:szCs w:val="28"/>
        </w:rPr>
        <w:t xml:space="preserve"> “final agency action” subject to challenge under the Administrative Procedures Act</w:t>
      </w:r>
      <w:r>
        <w:rPr>
          <w:sz w:val="28"/>
          <w:szCs w:val="28"/>
        </w:rPr>
        <w:t>.  That makes</w:t>
      </w:r>
      <w:r w:rsidR="00522097">
        <w:rPr>
          <w:sz w:val="28"/>
          <w:szCs w:val="28"/>
        </w:rPr>
        <w:t xml:space="preserve"> it difficult, if not impossible, for companies to take preemptive action challenging the threat of enforcement action. </w:t>
      </w:r>
    </w:p>
    <w:p w:rsidR="00C22468" w:rsidRDefault="00522097">
      <w:pPr>
        <w:pStyle w:val="RBNBasicNoSpace"/>
        <w:spacing w:line="480" w:lineRule="auto"/>
        <w:rPr>
          <w:sz w:val="28"/>
          <w:szCs w:val="28"/>
        </w:rPr>
      </w:pPr>
      <w:r>
        <w:rPr>
          <w:sz w:val="28"/>
          <w:szCs w:val="28"/>
        </w:rPr>
        <w:tab/>
        <w:t xml:space="preserve">Companies also couldn’t risk waiting for “final action” in </w:t>
      </w:r>
      <w:r w:rsidR="00BC3F5D">
        <w:rPr>
          <w:sz w:val="28"/>
          <w:szCs w:val="28"/>
        </w:rPr>
        <w:t xml:space="preserve">the </w:t>
      </w:r>
      <w:r>
        <w:rPr>
          <w:sz w:val="28"/>
          <w:szCs w:val="28"/>
        </w:rPr>
        <w:t xml:space="preserve">form of </w:t>
      </w:r>
      <w:r w:rsidR="00BC3F5D">
        <w:rPr>
          <w:sz w:val="28"/>
          <w:szCs w:val="28"/>
        </w:rPr>
        <w:t xml:space="preserve">prosecution and </w:t>
      </w:r>
      <w:r>
        <w:rPr>
          <w:sz w:val="28"/>
          <w:szCs w:val="28"/>
        </w:rPr>
        <w:t>adjudication</w:t>
      </w:r>
      <w:r w:rsidR="00BC3F5D">
        <w:rPr>
          <w:sz w:val="28"/>
          <w:szCs w:val="28"/>
        </w:rPr>
        <w:t xml:space="preserve"> to raise First Amendment arguments</w:t>
      </w:r>
      <w:r>
        <w:rPr>
          <w:sz w:val="28"/>
          <w:szCs w:val="28"/>
        </w:rPr>
        <w:t>, because the risks are intolerable</w:t>
      </w:r>
      <w:r w:rsidR="00BC3F5D">
        <w:rPr>
          <w:sz w:val="28"/>
          <w:szCs w:val="28"/>
        </w:rPr>
        <w:t>.</w:t>
      </w:r>
      <w:r>
        <w:rPr>
          <w:sz w:val="28"/>
          <w:szCs w:val="28"/>
        </w:rPr>
        <w:t xml:space="preserve"> </w:t>
      </w:r>
      <w:r w:rsidR="00BC3F5D">
        <w:rPr>
          <w:sz w:val="28"/>
          <w:szCs w:val="28"/>
        </w:rPr>
        <w:t xml:space="preserve"> T</w:t>
      </w:r>
      <w:r>
        <w:rPr>
          <w:sz w:val="28"/>
          <w:szCs w:val="28"/>
        </w:rPr>
        <w:t>he FDCA makes misbranding a crime, and through a complicated set of regulations, FDA has turned many types of manufacturer speech about pharmaceutical products into misbranding violations and therefore criminal</w:t>
      </w:r>
      <w:r w:rsidR="00BC3F5D">
        <w:rPr>
          <w:sz w:val="28"/>
          <w:szCs w:val="28"/>
        </w:rPr>
        <w:t xml:space="preserve"> acts</w:t>
      </w:r>
      <w:r>
        <w:rPr>
          <w:sz w:val="28"/>
          <w:szCs w:val="28"/>
        </w:rPr>
        <w:t xml:space="preserve">.  And the threat of exclusion from Medicare and Medicaid </w:t>
      </w:r>
      <w:r w:rsidR="00BC3F5D">
        <w:rPr>
          <w:sz w:val="28"/>
          <w:szCs w:val="28"/>
        </w:rPr>
        <w:t xml:space="preserve">that accompanies </w:t>
      </w:r>
      <w:r>
        <w:rPr>
          <w:sz w:val="28"/>
          <w:szCs w:val="28"/>
        </w:rPr>
        <w:t>any criminal violations was seen as a virtual “corporate death penalty” that companies couldn’t risk.</w:t>
      </w:r>
      <w:r w:rsidR="00BC3F5D">
        <w:rPr>
          <w:sz w:val="28"/>
          <w:szCs w:val="28"/>
        </w:rPr>
        <w:t xml:space="preserve">  So cases involving pharmaceutical manufacturer speech rarely go to trial, </w:t>
      </w:r>
      <w:proofErr w:type="gramStart"/>
      <w:r w:rsidR="00BC3F5D">
        <w:rPr>
          <w:sz w:val="28"/>
          <w:szCs w:val="28"/>
        </w:rPr>
        <w:t>further preventing</w:t>
      </w:r>
      <w:proofErr w:type="gramEnd"/>
      <w:r w:rsidR="00BC3F5D">
        <w:rPr>
          <w:sz w:val="28"/>
          <w:szCs w:val="28"/>
        </w:rPr>
        <w:t xml:space="preserve"> courts from addressing these issues. </w:t>
      </w:r>
    </w:p>
    <w:p w:rsidR="00C22468" w:rsidRDefault="00522097">
      <w:pPr>
        <w:pStyle w:val="RBNBasicNoSpace"/>
        <w:spacing w:line="480" w:lineRule="auto"/>
        <w:ind w:firstLine="720"/>
        <w:rPr>
          <w:sz w:val="28"/>
          <w:szCs w:val="28"/>
        </w:rPr>
      </w:pPr>
      <w:r>
        <w:rPr>
          <w:sz w:val="28"/>
          <w:szCs w:val="28"/>
        </w:rPr>
        <w:t>The lack of judicial oversight had a very unfortunate consequence.  Without an ongoing dialogue between courts and agency, the regulators went in one direction as the law went in the other.</w:t>
      </w:r>
    </w:p>
    <w:p w:rsidR="00C22468" w:rsidRDefault="00522097" w:rsidP="005C08E8">
      <w:pPr>
        <w:pStyle w:val="RBNBasicNoSpace"/>
        <w:spacing w:line="480" w:lineRule="auto"/>
        <w:rPr>
          <w:sz w:val="28"/>
          <w:szCs w:val="28"/>
        </w:rPr>
      </w:pPr>
      <w:r>
        <w:rPr>
          <w:sz w:val="28"/>
          <w:szCs w:val="28"/>
        </w:rPr>
        <w:lastRenderedPageBreak/>
        <w:tab/>
        <w:t>Regulators adopted an increasingly complex web of regulations</w:t>
      </w:r>
      <w:r w:rsidR="00DD284B">
        <w:rPr>
          <w:sz w:val="28"/>
          <w:szCs w:val="28"/>
        </w:rPr>
        <w:t xml:space="preserve"> governing manufacturer speech.  Sometimes, these regulations were</w:t>
      </w:r>
      <w:r>
        <w:rPr>
          <w:sz w:val="28"/>
          <w:szCs w:val="28"/>
        </w:rPr>
        <w:t xml:space="preserve"> designed to allow </w:t>
      </w:r>
      <w:r w:rsidR="00DD284B">
        <w:rPr>
          <w:sz w:val="28"/>
          <w:szCs w:val="28"/>
        </w:rPr>
        <w:t xml:space="preserve">manufacturers </w:t>
      </w:r>
      <w:r>
        <w:rPr>
          <w:sz w:val="28"/>
          <w:szCs w:val="28"/>
        </w:rPr>
        <w:t>some</w:t>
      </w:r>
      <w:r w:rsidR="00DD284B">
        <w:rPr>
          <w:sz w:val="28"/>
          <w:szCs w:val="28"/>
        </w:rPr>
        <w:t xml:space="preserve"> limited avenues for sharing</w:t>
      </w:r>
      <w:r>
        <w:rPr>
          <w:sz w:val="28"/>
          <w:szCs w:val="28"/>
        </w:rPr>
        <w:t xml:space="preserve"> concededly important information, such as certain information about off-label uses that were not only legal, but often represented the standard of care</w:t>
      </w:r>
      <w:r w:rsidR="005C08E8">
        <w:rPr>
          <w:sz w:val="28"/>
          <w:szCs w:val="28"/>
        </w:rPr>
        <w:t xml:space="preserve"> – care</w:t>
      </w:r>
      <w:r>
        <w:rPr>
          <w:sz w:val="28"/>
          <w:szCs w:val="28"/>
        </w:rPr>
        <w:t xml:space="preserve"> for which the government itself </w:t>
      </w:r>
      <w:r w:rsidR="005C08E8">
        <w:rPr>
          <w:sz w:val="28"/>
          <w:szCs w:val="28"/>
        </w:rPr>
        <w:t>was willing to</w:t>
      </w:r>
      <w:r>
        <w:rPr>
          <w:sz w:val="28"/>
          <w:szCs w:val="28"/>
        </w:rPr>
        <w:t xml:space="preserve"> make reimbursement payments.  But </w:t>
      </w:r>
      <w:r w:rsidR="0069189C">
        <w:rPr>
          <w:sz w:val="28"/>
          <w:szCs w:val="28"/>
        </w:rPr>
        <w:t>these ever-more-complex regulations and guidance documents</w:t>
      </w:r>
      <w:r>
        <w:rPr>
          <w:sz w:val="28"/>
          <w:szCs w:val="28"/>
        </w:rPr>
        <w:t xml:space="preserve"> enmeshed the agency in increasingly minute control over what manufacturers could say about their products and how they could say it.  And this was happening as the law </w:t>
      </w:r>
      <w:r w:rsidR="0069189C">
        <w:rPr>
          <w:sz w:val="28"/>
          <w:szCs w:val="28"/>
        </w:rPr>
        <w:t xml:space="preserve">on commercial speech </w:t>
      </w:r>
      <w:r>
        <w:rPr>
          <w:sz w:val="28"/>
          <w:szCs w:val="28"/>
        </w:rPr>
        <w:t xml:space="preserve">was </w:t>
      </w:r>
      <w:r w:rsidR="0069189C">
        <w:rPr>
          <w:sz w:val="28"/>
          <w:szCs w:val="28"/>
        </w:rPr>
        <w:t xml:space="preserve">moving </w:t>
      </w:r>
      <w:r>
        <w:rPr>
          <w:sz w:val="28"/>
          <w:szCs w:val="28"/>
        </w:rPr>
        <w:t>in the other direction, becoming increasingly less tolerant of government restrictions on speech.</w:t>
      </w:r>
    </w:p>
    <w:p w:rsidR="00C22468" w:rsidRDefault="00522097">
      <w:pPr>
        <w:spacing w:line="480" w:lineRule="auto"/>
        <w:rPr>
          <w:sz w:val="28"/>
          <w:szCs w:val="28"/>
        </w:rPr>
      </w:pPr>
      <w:r>
        <w:rPr>
          <w:sz w:val="28"/>
          <w:szCs w:val="28"/>
        </w:rPr>
        <w:tab/>
        <w:t>II</w:t>
      </w:r>
      <w:proofErr w:type="gramStart"/>
      <w:r>
        <w:rPr>
          <w:sz w:val="28"/>
          <w:szCs w:val="28"/>
        </w:rPr>
        <w:t xml:space="preserve">.  </w:t>
      </w:r>
      <w:r w:rsidR="005C08E8">
        <w:rPr>
          <w:sz w:val="28"/>
          <w:szCs w:val="28"/>
          <w:u w:val="single"/>
        </w:rPr>
        <w:t>Present</w:t>
      </w:r>
      <w:proofErr w:type="gramEnd"/>
      <w:r w:rsidR="005C08E8">
        <w:rPr>
          <w:sz w:val="28"/>
          <w:szCs w:val="28"/>
          <w:u w:val="single"/>
        </w:rPr>
        <w:t>.</w:t>
      </w:r>
      <w:r w:rsidR="005C08E8">
        <w:rPr>
          <w:sz w:val="28"/>
          <w:szCs w:val="28"/>
        </w:rPr>
        <w:t xml:space="preserve">  </w:t>
      </w:r>
      <w:r>
        <w:rPr>
          <w:sz w:val="28"/>
          <w:szCs w:val="28"/>
        </w:rPr>
        <w:t>This situation began to change with</w:t>
      </w:r>
      <w:r w:rsidR="005C08E8">
        <w:rPr>
          <w:sz w:val="28"/>
          <w:szCs w:val="28"/>
        </w:rPr>
        <w:t xml:space="preserve"> the Supreme Court’s 2011 decision in</w:t>
      </w:r>
      <w:r>
        <w:rPr>
          <w:sz w:val="28"/>
          <w:szCs w:val="28"/>
        </w:rPr>
        <w:t xml:space="preserve"> Sorrell.  Sorrell involved Vermont’s attempt to limit the sale of prescriber identifiable information to manufacturers, </w:t>
      </w:r>
      <w:r w:rsidR="007C2608">
        <w:rPr>
          <w:sz w:val="28"/>
          <w:szCs w:val="28"/>
        </w:rPr>
        <w:t xml:space="preserve">even though </w:t>
      </w:r>
      <w:r>
        <w:rPr>
          <w:sz w:val="28"/>
          <w:szCs w:val="28"/>
        </w:rPr>
        <w:t>the state and other</w:t>
      </w:r>
      <w:r w:rsidR="007C2608">
        <w:rPr>
          <w:sz w:val="28"/>
          <w:szCs w:val="28"/>
        </w:rPr>
        <w:t>s</w:t>
      </w:r>
      <w:r>
        <w:rPr>
          <w:sz w:val="28"/>
          <w:szCs w:val="28"/>
        </w:rPr>
        <w:t xml:space="preserve"> could obtain the same information.  In striking down the law, the Supreme Court made clear that pharmaceutical manufacturers’ speech about their products was protected by the 1</w:t>
      </w:r>
      <w:r w:rsidRPr="005C08E8">
        <w:rPr>
          <w:sz w:val="28"/>
          <w:szCs w:val="28"/>
          <w:vertAlign w:val="superscript"/>
        </w:rPr>
        <w:t>st</w:t>
      </w:r>
      <w:r w:rsidR="007C2608">
        <w:rPr>
          <w:sz w:val="28"/>
          <w:szCs w:val="28"/>
        </w:rPr>
        <w:t xml:space="preserve"> </w:t>
      </w:r>
      <w:r>
        <w:rPr>
          <w:sz w:val="28"/>
          <w:szCs w:val="28"/>
        </w:rPr>
        <w:t>A</w:t>
      </w:r>
      <w:r w:rsidR="007C2608">
        <w:rPr>
          <w:sz w:val="28"/>
          <w:szCs w:val="28"/>
        </w:rPr>
        <w:t>mendment</w:t>
      </w:r>
      <w:r>
        <w:rPr>
          <w:sz w:val="28"/>
          <w:szCs w:val="28"/>
        </w:rPr>
        <w:t xml:space="preserve"> and laws restricting such speech were subject to “heightened scrutiny,” without specifying whether that was strict or intermediate scrutiny.  In his dissenting opinion, Justice Breyer specifically called out the likely application of the decision to the FDCA as one reason he disagreed with the majority.</w:t>
      </w:r>
    </w:p>
    <w:p w:rsidR="00C22468" w:rsidRDefault="00522097">
      <w:pPr>
        <w:spacing w:line="480" w:lineRule="auto"/>
        <w:rPr>
          <w:sz w:val="28"/>
          <w:szCs w:val="28"/>
        </w:rPr>
      </w:pPr>
      <w:r>
        <w:rPr>
          <w:sz w:val="28"/>
          <w:szCs w:val="28"/>
        </w:rPr>
        <w:lastRenderedPageBreak/>
        <w:tab/>
        <w:t xml:space="preserve">Shortly thereafter, in Caronia, </w:t>
      </w:r>
      <w:r w:rsidR="007C2608">
        <w:rPr>
          <w:sz w:val="28"/>
          <w:szCs w:val="28"/>
        </w:rPr>
        <w:t xml:space="preserve">a criminal prosecution, </w:t>
      </w:r>
      <w:r>
        <w:rPr>
          <w:sz w:val="28"/>
          <w:szCs w:val="28"/>
        </w:rPr>
        <w:t xml:space="preserve">the Second Circuit in New York held that truthful and non-misleading speech about a lawful, though unapproved, use of an approved drug was protected by the First Amendment and could not </w:t>
      </w:r>
      <w:r w:rsidR="007C2608">
        <w:rPr>
          <w:sz w:val="28"/>
          <w:szCs w:val="28"/>
        </w:rPr>
        <w:t xml:space="preserve">by itself </w:t>
      </w:r>
      <w:r>
        <w:rPr>
          <w:sz w:val="28"/>
          <w:szCs w:val="28"/>
        </w:rPr>
        <w:t>be the basis of a conviction under the FDCA.</w:t>
      </w:r>
    </w:p>
    <w:p w:rsidR="00C22468" w:rsidRDefault="00522097">
      <w:pPr>
        <w:spacing w:line="480" w:lineRule="auto"/>
        <w:rPr>
          <w:sz w:val="28"/>
          <w:szCs w:val="28"/>
        </w:rPr>
      </w:pPr>
      <w:r>
        <w:rPr>
          <w:sz w:val="28"/>
          <w:szCs w:val="28"/>
        </w:rPr>
        <w:tab/>
        <w:t xml:space="preserve">Notably, these significant developments in application of the First Amendment to </w:t>
      </w:r>
      <w:r w:rsidR="007C2608">
        <w:rPr>
          <w:sz w:val="28"/>
          <w:szCs w:val="28"/>
        </w:rPr>
        <w:t xml:space="preserve">pharmaceutical manufacturer speech and </w:t>
      </w:r>
      <w:r>
        <w:rPr>
          <w:sz w:val="28"/>
          <w:szCs w:val="28"/>
        </w:rPr>
        <w:t xml:space="preserve">the FDCA occurred in cases that did not involve large pharmaceutical companies and had very different dynamics from the traditional </w:t>
      </w:r>
      <w:r w:rsidR="007C2608">
        <w:rPr>
          <w:sz w:val="28"/>
          <w:szCs w:val="28"/>
        </w:rPr>
        <w:t xml:space="preserve">agency issuance of a </w:t>
      </w:r>
      <w:r>
        <w:rPr>
          <w:sz w:val="28"/>
          <w:szCs w:val="28"/>
        </w:rPr>
        <w:t>warning letter</w:t>
      </w:r>
      <w:r w:rsidR="007C2608">
        <w:rPr>
          <w:sz w:val="28"/>
          <w:szCs w:val="28"/>
        </w:rPr>
        <w:t xml:space="preserve"> or opening of a </w:t>
      </w:r>
      <w:r>
        <w:rPr>
          <w:sz w:val="28"/>
          <w:szCs w:val="28"/>
        </w:rPr>
        <w:t>DOJ investigation I mentioned earlier.  In the case of Caronia, the government had prosecuted an individual, who had nothing to lose from fighting his conviction.</w:t>
      </w:r>
    </w:p>
    <w:p w:rsidR="00C22468" w:rsidRDefault="00522097">
      <w:pPr>
        <w:spacing w:line="480" w:lineRule="auto"/>
        <w:rPr>
          <w:sz w:val="28"/>
          <w:szCs w:val="28"/>
        </w:rPr>
      </w:pPr>
      <w:r>
        <w:rPr>
          <w:sz w:val="28"/>
          <w:szCs w:val="28"/>
        </w:rPr>
        <w:tab/>
        <w:t xml:space="preserve">Even before Caronia, industry groups, like PhRMA and the Medical Information Working Group, </w:t>
      </w:r>
      <w:r w:rsidR="005C08E8">
        <w:rPr>
          <w:sz w:val="28"/>
          <w:szCs w:val="28"/>
        </w:rPr>
        <w:t xml:space="preserve">which my firm Ropes &amp; Gray represents, </w:t>
      </w:r>
      <w:r>
        <w:rPr>
          <w:sz w:val="28"/>
          <w:szCs w:val="28"/>
        </w:rPr>
        <w:t>were attempting to engage FDA on the need to revise its regulations to take account of First Amendment concerns.  Although FDA has recently indicated that it is undertaking such a review, we have not yet seen any significant proposals</w:t>
      </w:r>
      <w:r w:rsidR="007C2608">
        <w:rPr>
          <w:sz w:val="28"/>
          <w:szCs w:val="28"/>
        </w:rPr>
        <w:t xml:space="preserve"> from the agency</w:t>
      </w:r>
      <w:r>
        <w:rPr>
          <w:sz w:val="28"/>
          <w:szCs w:val="28"/>
        </w:rPr>
        <w:t xml:space="preserve">, </w:t>
      </w:r>
      <w:r w:rsidR="007C2608">
        <w:rPr>
          <w:sz w:val="28"/>
          <w:szCs w:val="28"/>
        </w:rPr>
        <w:t xml:space="preserve">and </w:t>
      </w:r>
      <w:r>
        <w:rPr>
          <w:sz w:val="28"/>
          <w:szCs w:val="28"/>
        </w:rPr>
        <w:t xml:space="preserve">instead have seen only very targeted revisions to specific speech restrictions.  </w:t>
      </w:r>
      <w:r w:rsidR="007C2608">
        <w:rPr>
          <w:sz w:val="28"/>
          <w:szCs w:val="28"/>
        </w:rPr>
        <w:t>E</w:t>
      </w:r>
      <w:r>
        <w:rPr>
          <w:sz w:val="28"/>
          <w:szCs w:val="28"/>
        </w:rPr>
        <w:t xml:space="preserve">ven these have come so far in the form of </w:t>
      </w:r>
      <w:r w:rsidR="007C2608">
        <w:rPr>
          <w:sz w:val="28"/>
          <w:szCs w:val="28"/>
        </w:rPr>
        <w:t xml:space="preserve">non-binding </w:t>
      </w:r>
      <w:r>
        <w:rPr>
          <w:sz w:val="28"/>
          <w:szCs w:val="28"/>
        </w:rPr>
        <w:t>draft guidance or proposals, not final agency action.</w:t>
      </w:r>
    </w:p>
    <w:p w:rsidR="00C22468" w:rsidRDefault="00522097">
      <w:pPr>
        <w:spacing w:line="480" w:lineRule="auto"/>
        <w:rPr>
          <w:sz w:val="28"/>
          <w:szCs w:val="28"/>
        </w:rPr>
      </w:pPr>
      <w:r>
        <w:rPr>
          <w:sz w:val="28"/>
          <w:szCs w:val="28"/>
        </w:rPr>
        <w:tab/>
        <w:t>The agency had</w:t>
      </w:r>
      <w:r w:rsidR="005C08E8">
        <w:rPr>
          <w:sz w:val="28"/>
          <w:szCs w:val="28"/>
        </w:rPr>
        <w:t>, at least until very recently,</w:t>
      </w:r>
      <w:r>
        <w:rPr>
          <w:sz w:val="28"/>
          <w:szCs w:val="28"/>
        </w:rPr>
        <w:t xml:space="preserve"> adopted </w:t>
      </w:r>
      <w:r w:rsidR="007C2608">
        <w:rPr>
          <w:sz w:val="28"/>
          <w:szCs w:val="28"/>
        </w:rPr>
        <w:t xml:space="preserve">the </w:t>
      </w:r>
      <w:r>
        <w:rPr>
          <w:sz w:val="28"/>
          <w:szCs w:val="28"/>
        </w:rPr>
        <w:t xml:space="preserve">view </w:t>
      </w:r>
      <w:r w:rsidR="007C2608">
        <w:rPr>
          <w:sz w:val="28"/>
          <w:szCs w:val="28"/>
        </w:rPr>
        <w:t xml:space="preserve">that </w:t>
      </w:r>
      <w:r>
        <w:rPr>
          <w:sz w:val="28"/>
          <w:szCs w:val="28"/>
        </w:rPr>
        <w:t xml:space="preserve">Caronia did not signal a major shift in the First Amendment environment for the FDCA, but </w:t>
      </w:r>
      <w:r>
        <w:rPr>
          <w:sz w:val="28"/>
          <w:szCs w:val="28"/>
        </w:rPr>
        <w:lastRenderedPageBreak/>
        <w:t xml:space="preserve">was instead a </w:t>
      </w:r>
      <w:r w:rsidR="007C2608">
        <w:rPr>
          <w:sz w:val="28"/>
          <w:szCs w:val="28"/>
        </w:rPr>
        <w:t xml:space="preserve">fact-bound </w:t>
      </w:r>
      <w:r>
        <w:rPr>
          <w:sz w:val="28"/>
          <w:szCs w:val="28"/>
        </w:rPr>
        <w:t xml:space="preserve">case about poor jury instructions, </w:t>
      </w:r>
      <w:r w:rsidR="007C2608">
        <w:rPr>
          <w:sz w:val="28"/>
          <w:szCs w:val="28"/>
        </w:rPr>
        <w:t xml:space="preserve">so </w:t>
      </w:r>
      <w:r>
        <w:rPr>
          <w:sz w:val="28"/>
          <w:szCs w:val="28"/>
        </w:rPr>
        <w:t>that off-label promotion could still be the focus of a criminal misbranding charge as long as the jury was told the speech was “evidence that demonstrated a new intended use for which the drug lacked approved instructions.”</w:t>
      </w:r>
    </w:p>
    <w:p w:rsidR="00C22468" w:rsidRDefault="00522097">
      <w:pPr>
        <w:spacing w:line="480" w:lineRule="auto"/>
        <w:rPr>
          <w:sz w:val="28"/>
          <w:szCs w:val="28"/>
        </w:rPr>
      </w:pPr>
      <w:r>
        <w:rPr>
          <w:sz w:val="28"/>
          <w:szCs w:val="28"/>
        </w:rPr>
        <w:tab/>
      </w:r>
      <w:r w:rsidR="007C2608">
        <w:rPr>
          <w:sz w:val="28"/>
          <w:szCs w:val="28"/>
        </w:rPr>
        <w:t xml:space="preserve">Judge </w:t>
      </w:r>
      <w:proofErr w:type="spellStart"/>
      <w:r w:rsidR="007C2608">
        <w:rPr>
          <w:sz w:val="28"/>
          <w:szCs w:val="28"/>
        </w:rPr>
        <w:t>Englemayer’s</w:t>
      </w:r>
      <w:proofErr w:type="spellEnd"/>
      <w:r w:rsidR="007C2608">
        <w:rPr>
          <w:sz w:val="28"/>
          <w:szCs w:val="28"/>
        </w:rPr>
        <w:t xml:space="preserve"> recent opinion in </w:t>
      </w:r>
      <w:r>
        <w:rPr>
          <w:sz w:val="28"/>
          <w:szCs w:val="28"/>
        </w:rPr>
        <w:t xml:space="preserve">Amarin marks another highly significant development in this unfolding story.  Note, first, that the procedural context of Amarin is quite different from the dynamic of a company that is being charged with criminal conduct trying to bring a First Amendment suit as a defensive matter, as had occurred a few times before Amarin, and where the government had argued to dismiss the suits as improper and/or premature.  Amarin brought suit as an affirmative matter, and it could do so in part because the Second Circuit, which had issued Caronia, has very favorable law </w:t>
      </w:r>
      <w:r w:rsidR="007C2608">
        <w:rPr>
          <w:sz w:val="28"/>
          <w:szCs w:val="28"/>
        </w:rPr>
        <w:t>governing</w:t>
      </w:r>
      <w:r>
        <w:rPr>
          <w:sz w:val="28"/>
          <w:szCs w:val="28"/>
        </w:rPr>
        <w:t xml:space="preserve"> when a party can bring suit to challenge government action or regulations that are chilling First Amendment protected speech.</w:t>
      </w:r>
    </w:p>
    <w:p w:rsidR="00C22468" w:rsidRDefault="00522097">
      <w:pPr>
        <w:spacing w:line="480" w:lineRule="auto"/>
        <w:ind w:firstLine="720"/>
        <w:rPr>
          <w:sz w:val="28"/>
          <w:szCs w:val="28"/>
        </w:rPr>
      </w:pPr>
      <w:r>
        <w:rPr>
          <w:sz w:val="28"/>
          <w:szCs w:val="28"/>
        </w:rPr>
        <w:t xml:space="preserve">Judge </w:t>
      </w:r>
      <w:proofErr w:type="spellStart"/>
      <w:r>
        <w:rPr>
          <w:sz w:val="28"/>
          <w:szCs w:val="28"/>
        </w:rPr>
        <w:t>Englemayer’s</w:t>
      </w:r>
      <w:proofErr w:type="spellEnd"/>
      <w:r>
        <w:rPr>
          <w:sz w:val="28"/>
          <w:szCs w:val="28"/>
        </w:rPr>
        <w:t xml:space="preserve"> decision in Amarin is also significant</w:t>
      </w:r>
      <w:r w:rsidR="007C2608">
        <w:rPr>
          <w:sz w:val="28"/>
          <w:szCs w:val="28"/>
        </w:rPr>
        <w:t xml:space="preserve"> in that it</w:t>
      </w:r>
      <w:r>
        <w:rPr>
          <w:sz w:val="28"/>
          <w:szCs w:val="28"/>
        </w:rPr>
        <w:t xml:space="preserve"> rejects any attempt to cabin Caronia in the way the government had.  Judge </w:t>
      </w:r>
      <w:proofErr w:type="spellStart"/>
      <w:r>
        <w:rPr>
          <w:sz w:val="28"/>
          <w:szCs w:val="28"/>
        </w:rPr>
        <w:t>Englemayer</w:t>
      </w:r>
      <w:proofErr w:type="spellEnd"/>
      <w:r>
        <w:rPr>
          <w:sz w:val="28"/>
          <w:szCs w:val="28"/>
        </w:rPr>
        <w:t xml:space="preserve"> </w:t>
      </w:r>
      <w:r w:rsidR="007C2608">
        <w:rPr>
          <w:sz w:val="28"/>
          <w:szCs w:val="28"/>
        </w:rPr>
        <w:t xml:space="preserve">focused on </w:t>
      </w:r>
      <w:r>
        <w:rPr>
          <w:sz w:val="28"/>
          <w:szCs w:val="28"/>
        </w:rPr>
        <w:t xml:space="preserve">the </w:t>
      </w:r>
      <w:proofErr w:type="spellStart"/>
      <w:proofErr w:type="gramStart"/>
      <w:r w:rsidR="00CB5F85">
        <w:rPr>
          <w:sz w:val="28"/>
          <w:szCs w:val="28"/>
        </w:rPr>
        <w:t>latin</w:t>
      </w:r>
      <w:proofErr w:type="spellEnd"/>
      <w:proofErr w:type="gramEnd"/>
      <w:r w:rsidR="007C2608">
        <w:rPr>
          <w:sz w:val="28"/>
          <w:szCs w:val="28"/>
        </w:rPr>
        <w:t xml:space="preserve"> </w:t>
      </w:r>
      <w:r>
        <w:rPr>
          <w:sz w:val="28"/>
          <w:szCs w:val="28"/>
        </w:rPr>
        <w:t xml:space="preserve">phrase “actus </w:t>
      </w:r>
      <w:proofErr w:type="spellStart"/>
      <w:r>
        <w:rPr>
          <w:sz w:val="28"/>
          <w:szCs w:val="28"/>
        </w:rPr>
        <w:t>reus</w:t>
      </w:r>
      <w:proofErr w:type="spellEnd"/>
      <w:r>
        <w:rPr>
          <w:sz w:val="28"/>
          <w:szCs w:val="28"/>
        </w:rPr>
        <w:t xml:space="preserve">,” which basically means the </w:t>
      </w:r>
      <w:r w:rsidR="007C2608">
        <w:rPr>
          <w:sz w:val="28"/>
          <w:szCs w:val="28"/>
        </w:rPr>
        <w:t xml:space="preserve">criminal </w:t>
      </w:r>
      <w:r w:rsidRPr="00CB5F85">
        <w:rPr>
          <w:i/>
          <w:sz w:val="28"/>
          <w:szCs w:val="28"/>
        </w:rPr>
        <w:t>act</w:t>
      </w:r>
      <w:r>
        <w:rPr>
          <w:sz w:val="28"/>
          <w:szCs w:val="28"/>
        </w:rPr>
        <w:t xml:space="preserve"> that is the basis of the prosecution.  He read Caronia, as many of us had, to hold that the government cannot undertake a prosecution in which truthful, non-misleading speech about a lawful off-label use of a drug is the core bad act that </w:t>
      </w:r>
      <w:r>
        <w:rPr>
          <w:sz w:val="28"/>
          <w:szCs w:val="28"/>
        </w:rPr>
        <w:lastRenderedPageBreak/>
        <w:t>forms the basis of alleged criminal misbranding.  Speech could be used as evidence of a crime, he indicated, but only where there was separate, underlying non-speech conduct (such as kickbacks).</w:t>
      </w:r>
    </w:p>
    <w:p w:rsidR="00C22468" w:rsidRDefault="00522097">
      <w:pPr>
        <w:spacing w:line="480" w:lineRule="auto"/>
        <w:rPr>
          <w:sz w:val="28"/>
          <w:szCs w:val="28"/>
        </w:rPr>
      </w:pPr>
      <w:r>
        <w:rPr>
          <w:sz w:val="28"/>
          <w:szCs w:val="28"/>
        </w:rPr>
        <w:tab/>
        <w:t xml:space="preserve">Of course, the threshold requirement </w:t>
      </w:r>
      <w:r w:rsidR="007C2608">
        <w:rPr>
          <w:sz w:val="28"/>
          <w:szCs w:val="28"/>
        </w:rPr>
        <w:t xml:space="preserve">for First Amendment protection is </w:t>
      </w:r>
      <w:r>
        <w:rPr>
          <w:sz w:val="28"/>
          <w:szCs w:val="28"/>
        </w:rPr>
        <w:t xml:space="preserve">that the speech </w:t>
      </w:r>
      <w:proofErr w:type="gramStart"/>
      <w:r>
        <w:rPr>
          <w:sz w:val="28"/>
          <w:szCs w:val="28"/>
        </w:rPr>
        <w:t>be</w:t>
      </w:r>
      <w:proofErr w:type="gramEnd"/>
      <w:r>
        <w:rPr>
          <w:sz w:val="28"/>
          <w:szCs w:val="28"/>
        </w:rPr>
        <w:t xml:space="preserve"> truthful and non-misleading, and Judge </w:t>
      </w:r>
      <w:proofErr w:type="spellStart"/>
      <w:r>
        <w:rPr>
          <w:sz w:val="28"/>
          <w:szCs w:val="28"/>
        </w:rPr>
        <w:t>Englemayer</w:t>
      </w:r>
      <w:proofErr w:type="spellEnd"/>
      <w:r>
        <w:rPr>
          <w:sz w:val="28"/>
          <w:szCs w:val="28"/>
        </w:rPr>
        <w:t xml:space="preserve"> gave great </w:t>
      </w:r>
      <w:r w:rsidR="007C2608">
        <w:rPr>
          <w:sz w:val="28"/>
          <w:szCs w:val="28"/>
        </w:rPr>
        <w:t xml:space="preserve">attention </w:t>
      </w:r>
      <w:r>
        <w:rPr>
          <w:sz w:val="28"/>
          <w:szCs w:val="28"/>
        </w:rPr>
        <w:t xml:space="preserve">to that concern.  Amarin had proposed specific promotional material that it wanted to use, </w:t>
      </w:r>
      <w:r w:rsidR="007C2608">
        <w:rPr>
          <w:sz w:val="28"/>
          <w:szCs w:val="28"/>
        </w:rPr>
        <w:t xml:space="preserve">FDA had responded with proposed alterations to </w:t>
      </w:r>
      <w:proofErr w:type="spellStart"/>
      <w:r w:rsidR="007C2608">
        <w:rPr>
          <w:sz w:val="28"/>
          <w:szCs w:val="28"/>
        </w:rPr>
        <w:t>Amarin’s</w:t>
      </w:r>
      <w:proofErr w:type="spellEnd"/>
      <w:r w:rsidR="007C2608">
        <w:rPr>
          <w:sz w:val="28"/>
          <w:szCs w:val="28"/>
        </w:rPr>
        <w:t xml:space="preserve"> scripted material, </w:t>
      </w:r>
      <w:r>
        <w:rPr>
          <w:sz w:val="28"/>
          <w:szCs w:val="28"/>
        </w:rPr>
        <w:t xml:space="preserve">and Judge </w:t>
      </w:r>
      <w:proofErr w:type="spellStart"/>
      <w:r>
        <w:rPr>
          <w:sz w:val="28"/>
          <w:szCs w:val="28"/>
        </w:rPr>
        <w:t>Englemayer’s</w:t>
      </w:r>
      <w:proofErr w:type="spellEnd"/>
      <w:r>
        <w:rPr>
          <w:sz w:val="28"/>
          <w:szCs w:val="28"/>
        </w:rPr>
        <w:t xml:space="preserve"> order specified </w:t>
      </w:r>
      <w:r w:rsidR="007C2608">
        <w:rPr>
          <w:sz w:val="28"/>
          <w:szCs w:val="28"/>
        </w:rPr>
        <w:t xml:space="preserve">precisely which </w:t>
      </w:r>
      <w:r>
        <w:rPr>
          <w:sz w:val="28"/>
          <w:szCs w:val="28"/>
        </w:rPr>
        <w:t xml:space="preserve">additional disclosures and disclaimers </w:t>
      </w:r>
      <w:r w:rsidR="007C2608">
        <w:rPr>
          <w:sz w:val="28"/>
          <w:szCs w:val="28"/>
        </w:rPr>
        <w:t xml:space="preserve">he believed </w:t>
      </w:r>
      <w:r>
        <w:rPr>
          <w:sz w:val="28"/>
          <w:szCs w:val="28"/>
        </w:rPr>
        <w:t xml:space="preserve">were necessary to make it truthful and non-misleading.  Of course, this provides helpful guidance, but it also raises an important question – does an Amarin-type lawsuit set up a regime under which, instead of going to FDA to seek pre-approval (in the form of enforcement discretion) for a company’s speech, the company must seek </w:t>
      </w:r>
      <w:r w:rsidR="00CB5F85">
        <w:rPr>
          <w:sz w:val="28"/>
          <w:szCs w:val="28"/>
        </w:rPr>
        <w:t>pre-</w:t>
      </w:r>
      <w:r>
        <w:rPr>
          <w:sz w:val="28"/>
          <w:szCs w:val="28"/>
        </w:rPr>
        <w:t>approval from a court of exactly what it proposes to say.</w:t>
      </w:r>
    </w:p>
    <w:p w:rsidR="00C22468" w:rsidRDefault="00522097">
      <w:pPr>
        <w:spacing w:line="480" w:lineRule="auto"/>
        <w:rPr>
          <w:sz w:val="28"/>
          <w:szCs w:val="28"/>
        </w:rPr>
      </w:pPr>
      <w:r>
        <w:rPr>
          <w:sz w:val="28"/>
          <w:szCs w:val="28"/>
        </w:rPr>
        <w:tab/>
        <w:t xml:space="preserve">I </w:t>
      </w:r>
      <w:r w:rsidR="00CB5F85">
        <w:rPr>
          <w:sz w:val="28"/>
          <w:szCs w:val="28"/>
        </w:rPr>
        <w:t>would suggest that neither is appropriate</w:t>
      </w:r>
      <w:r>
        <w:rPr>
          <w:sz w:val="28"/>
          <w:szCs w:val="28"/>
        </w:rPr>
        <w:t xml:space="preserve"> under the First Amendment.  The First Amendment does not tolerate prior restraint regimes under which government permission must first be </w:t>
      </w:r>
      <w:r w:rsidR="007C2608">
        <w:rPr>
          <w:sz w:val="28"/>
          <w:szCs w:val="28"/>
        </w:rPr>
        <w:t xml:space="preserve">obtained </w:t>
      </w:r>
      <w:r>
        <w:rPr>
          <w:sz w:val="28"/>
          <w:szCs w:val="28"/>
        </w:rPr>
        <w:t>before a person can speak.</w:t>
      </w:r>
    </w:p>
    <w:p w:rsidR="00C22468" w:rsidRDefault="00522097">
      <w:pPr>
        <w:spacing w:line="480" w:lineRule="auto"/>
        <w:rPr>
          <w:sz w:val="28"/>
          <w:szCs w:val="28"/>
        </w:rPr>
      </w:pPr>
      <w:r>
        <w:rPr>
          <w:sz w:val="28"/>
          <w:szCs w:val="28"/>
        </w:rPr>
        <w:tab/>
        <w:t xml:space="preserve">And I should mention that, while these new FDCA-specific cases are developing, First Amendment law </w:t>
      </w:r>
      <w:r w:rsidR="00CB5F85">
        <w:rPr>
          <w:sz w:val="28"/>
          <w:szCs w:val="28"/>
        </w:rPr>
        <w:t xml:space="preserve">more generally </w:t>
      </w:r>
      <w:r>
        <w:rPr>
          <w:sz w:val="28"/>
          <w:szCs w:val="28"/>
        </w:rPr>
        <w:t xml:space="preserve">is developing in ways that will affect the FDA regulatory regime.  In a major case last term, Reed v. Town of </w:t>
      </w:r>
      <w:r>
        <w:rPr>
          <w:sz w:val="28"/>
          <w:szCs w:val="28"/>
        </w:rPr>
        <w:lastRenderedPageBreak/>
        <w:t xml:space="preserve">Gilbert, the Supreme Court held that any content-based restrictions on speech are subject to strict scrutiny, and that the government’s justifications for regulating the speech are relevant, not to the level of scrutiny applied, but </w:t>
      </w:r>
      <w:r w:rsidR="007236A2">
        <w:rPr>
          <w:sz w:val="28"/>
          <w:szCs w:val="28"/>
        </w:rPr>
        <w:t xml:space="preserve">only </w:t>
      </w:r>
      <w:r>
        <w:rPr>
          <w:sz w:val="28"/>
          <w:szCs w:val="28"/>
        </w:rPr>
        <w:t>to whether the restrictions survive application of the strict scrutiny test.  Notably, as in Sorrell, Justice Breyer’s separate opinion again highlights pharmaceutical marketing as one of the areas of law that will be impacted by the Court’s more robust insistence on applying strict scrutiny.</w:t>
      </w:r>
    </w:p>
    <w:p w:rsidR="00C22468" w:rsidRDefault="00522097">
      <w:pPr>
        <w:pStyle w:val="RBNBasicNoSpace"/>
        <w:spacing w:line="480" w:lineRule="auto"/>
        <w:rPr>
          <w:sz w:val="28"/>
          <w:szCs w:val="28"/>
        </w:rPr>
      </w:pPr>
      <w:r>
        <w:rPr>
          <w:sz w:val="28"/>
          <w:szCs w:val="28"/>
        </w:rPr>
        <w:tab/>
        <w:t>III</w:t>
      </w:r>
      <w:proofErr w:type="gramStart"/>
      <w:r>
        <w:rPr>
          <w:sz w:val="28"/>
          <w:szCs w:val="28"/>
        </w:rPr>
        <w:t xml:space="preserve">.  </w:t>
      </w:r>
      <w:r w:rsidR="00F63EC8">
        <w:rPr>
          <w:sz w:val="28"/>
          <w:szCs w:val="28"/>
          <w:u w:val="single"/>
        </w:rPr>
        <w:t>Future</w:t>
      </w:r>
      <w:proofErr w:type="gramEnd"/>
      <w:r w:rsidR="00F63EC8">
        <w:rPr>
          <w:sz w:val="28"/>
          <w:szCs w:val="28"/>
          <w:u w:val="single"/>
        </w:rPr>
        <w:t>.</w:t>
      </w:r>
      <w:r w:rsidR="00F63EC8">
        <w:rPr>
          <w:sz w:val="28"/>
          <w:szCs w:val="28"/>
        </w:rPr>
        <w:t xml:space="preserve">  </w:t>
      </w:r>
      <w:r>
        <w:rPr>
          <w:sz w:val="28"/>
          <w:szCs w:val="28"/>
        </w:rPr>
        <w:t>So, where does this all end?  Of course, that is the 64 billion dollar question.</w:t>
      </w:r>
    </w:p>
    <w:p w:rsidR="00C22468" w:rsidRDefault="00522097">
      <w:pPr>
        <w:pStyle w:val="RBNBasicNoSpace"/>
        <w:spacing w:line="480" w:lineRule="auto"/>
        <w:rPr>
          <w:sz w:val="28"/>
          <w:szCs w:val="28"/>
        </w:rPr>
      </w:pPr>
      <w:r>
        <w:rPr>
          <w:sz w:val="28"/>
          <w:szCs w:val="28"/>
        </w:rPr>
        <w:tab/>
        <w:t xml:space="preserve">One thing that is clear is that the litigation is not tracking FDA’s traditional framework for regulating speech, which focuses on who is doing the speaking – the sales rep or a medical specialist, whether </w:t>
      </w:r>
      <w:r w:rsidR="007236A2">
        <w:rPr>
          <w:sz w:val="28"/>
          <w:szCs w:val="28"/>
        </w:rPr>
        <w:t xml:space="preserve">the speech </w:t>
      </w:r>
      <w:r>
        <w:rPr>
          <w:sz w:val="28"/>
          <w:szCs w:val="28"/>
        </w:rPr>
        <w:t>is promotion or so-called “scientific exchange.”</w:t>
      </w:r>
    </w:p>
    <w:p w:rsidR="00C22468" w:rsidRDefault="00522097">
      <w:pPr>
        <w:pStyle w:val="RBNBasicNoSpace"/>
        <w:spacing w:line="480" w:lineRule="auto"/>
        <w:ind w:firstLine="720"/>
        <w:rPr>
          <w:sz w:val="28"/>
          <w:szCs w:val="28"/>
        </w:rPr>
      </w:pPr>
      <w:r>
        <w:rPr>
          <w:sz w:val="28"/>
          <w:szCs w:val="28"/>
        </w:rPr>
        <w:t>Rather, as the Amarin lawsuit makes clear, the focus is and will be on the key threshold question</w:t>
      </w:r>
      <w:r w:rsidR="007236A2">
        <w:rPr>
          <w:sz w:val="28"/>
          <w:szCs w:val="28"/>
        </w:rPr>
        <w:t>s</w:t>
      </w:r>
      <w:r>
        <w:rPr>
          <w:sz w:val="28"/>
          <w:szCs w:val="28"/>
        </w:rPr>
        <w:t xml:space="preserve"> of what standard applies to determine if a manufacturer’s speech is truthful and non-misleading</w:t>
      </w:r>
      <w:r w:rsidR="007236A2">
        <w:rPr>
          <w:sz w:val="28"/>
          <w:szCs w:val="28"/>
        </w:rPr>
        <w:t>, and also as I described above, of who gets to make this initial determination – the agency, the courts, or the company</w:t>
      </w:r>
      <w:r>
        <w:rPr>
          <w:sz w:val="28"/>
          <w:szCs w:val="28"/>
        </w:rPr>
        <w:t>.  Most of the cases to date have focused on off-label promotion, and the government</w:t>
      </w:r>
      <w:r w:rsidR="007236A2">
        <w:rPr>
          <w:sz w:val="28"/>
          <w:szCs w:val="28"/>
        </w:rPr>
        <w:t xml:space="preserve"> has attempted to </w:t>
      </w:r>
      <w:r>
        <w:rPr>
          <w:sz w:val="28"/>
          <w:szCs w:val="28"/>
        </w:rPr>
        <w:t>argu</w:t>
      </w:r>
      <w:r w:rsidR="007236A2">
        <w:rPr>
          <w:sz w:val="28"/>
          <w:szCs w:val="28"/>
        </w:rPr>
        <w:t>e</w:t>
      </w:r>
      <w:r>
        <w:rPr>
          <w:sz w:val="28"/>
          <w:szCs w:val="28"/>
        </w:rPr>
        <w:t xml:space="preserve"> that the speech is not directly at issue, but only being used as evidence of selling a misbranded drug.  </w:t>
      </w:r>
      <w:r w:rsidR="00CB5F85">
        <w:rPr>
          <w:sz w:val="28"/>
          <w:szCs w:val="28"/>
        </w:rPr>
        <w:t xml:space="preserve">The opinion in </w:t>
      </w:r>
      <w:r>
        <w:rPr>
          <w:sz w:val="28"/>
          <w:szCs w:val="28"/>
        </w:rPr>
        <w:t xml:space="preserve">Amarin rejects that </w:t>
      </w:r>
      <w:r>
        <w:rPr>
          <w:sz w:val="28"/>
          <w:szCs w:val="28"/>
        </w:rPr>
        <w:lastRenderedPageBreak/>
        <w:t>distinction.  But even apart from Amarin, FDA’s speech restrictions are not limited to off-label promotion.  FDA has regulations that deem any promotional claim for a prescription drug to be false or misleading if it lacks substantial evidence, which FDA generally construes to require two randomized clinical trials.  While FDA, as an exercise of its enforcement discretion</w:t>
      </w:r>
      <w:r w:rsidR="007236A2">
        <w:rPr>
          <w:sz w:val="28"/>
          <w:szCs w:val="28"/>
        </w:rPr>
        <w:t>,</w:t>
      </w:r>
      <w:r>
        <w:rPr>
          <w:sz w:val="28"/>
          <w:szCs w:val="28"/>
        </w:rPr>
        <w:t xml:space="preserve"> often allows claims without two trials, a regulation that establishes a two-trial standard unless and until the government, in its discretion, allows lesser evidence, operates precisely like the prior restraint system that the First Amendment forbids.</w:t>
      </w:r>
    </w:p>
    <w:p w:rsidR="00C22468" w:rsidRDefault="00522097">
      <w:pPr>
        <w:pStyle w:val="RBNBasicNoSpace"/>
        <w:spacing w:line="480" w:lineRule="auto"/>
        <w:rPr>
          <w:sz w:val="28"/>
          <w:szCs w:val="28"/>
        </w:rPr>
      </w:pPr>
      <w:r>
        <w:rPr>
          <w:sz w:val="28"/>
          <w:szCs w:val="28"/>
        </w:rPr>
        <w:tab/>
        <w:t xml:space="preserve">So, for both on-label claims, such as product comparisons, and for off-label claims under Amarin, the standard that will apply to determine whether speech is truthful and non-misleading is critical.  The FDCA itself as well as FDA regulations, utilize many different formulations for what level of evidence is necessary in order to make a claim truthful and non-misleading, depending on what kind of product and what kind of claim is being made.  These include substantial evidence, substantial clinical experience, valid scientific evidence, competent and reliable scientific evidence, significant scientific agreement, adequate evidence, and evidence sufficient to satisfy the relevant scientific community of the claim’s truth.  </w:t>
      </w:r>
    </w:p>
    <w:p w:rsidR="00C22468" w:rsidRDefault="00522097">
      <w:pPr>
        <w:pStyle w:val="RBNBasicNoSpace"/>
        <w:spacing w:line="480" w:lineRule="auto"/>
        <w:rPr>
          <w:sz w:val="28"/>
          <w:szCs w:val="28"/>
        </w:rPr>
      </w:pPr>
      <w:r>
        <w:rPr>
          <w:sz w:val="28"/>
          <w:szCs w:val="28"/>
        </w:rPr>
        <w:tab/>
      </w:r>
      <w:r w:rsidR="007236A2">
        <w:rPr>
          <w:sz w:val="28"/>
          <w:szCs w:val="28"/>
        </w:rPr>
        <w:t>“</w:t>
      </w:r>
      <w:r>
        <w:rPr>
          <w:sz w:val="28"/>
          <w:szCs w:val="28"/>
        </w:rPr>
        <w:t>Substantial clinical experience</w:t>
      </w:r>
      <w:r w:rsidR="007236A2">
        <w:rPr>
          <w:sz w:val="28"/>
          <w:szCs w:val="28"/>
        </w:rPr>
        <w:t>”</w:t>
      </w:r>
      <w:r>
        <w:rPr>
          <w:sz w:val="28"/>
          <w:szCs w:val="28"/>
        </w:rPr>
        <w:t xml:space="preserve"> may be a standard that is worth developing further</w:t>
      </w:r>
      <w:r w:rsidR="007236A2">
        <w:rPr>
          <w:sz w:val="28"/>
          <w:szCs w:val="28"/>
        </w:rPr>
        <w:t>.  This standard</w:t>
      </w:r>
      <w:r>
        <w:rPr>
          <w:sz w:val="28"/>
          <w:szCs w:val="28"/>
        </w:rPr>
        <w:t xml:space="preserve"> </w:t>
      </w:r>
      <w:r w:rsidR="00CB5F85">
        <w:rPr>
          <w:sz w:val="28"/>
          <w:szCs w:val="28"/>
        </w:rPr>
        <w:t xml:space="preserve">could be expanded to take into account </w:t>
      </w:r>
      <w:r>
        <w:rPr>
          <w:sz w:val="28"/>
          <w:szCs w:val="28"/>
        </w:rPr>
        <w:t xml:space="preserve">the significant </w:t>
      </w:r>
      <w:r>
        <w:rPr>
          <w:sz w:val="28"/>
          <w:szCs w:val="28"/>
        </w:rPr>
        <w:lastRenderedPageBreak/>
        <w:t>evidence that companies gather about how their products fare when used in the real world.</w:t>
      </w:r>
      <w:r w:rsidR="00CB5F85">
        <w:rPr>
          <w:sz w:val="28"/>
          <w:szCs w:val="28"/>
        </w:rPr>
        <w:t xml:space="preserve">  But so far FDA has not construed the standard in that fashion.</w:t>
      </w:r>
    </w:p>
    <w:p w:rsidR="00C22468" w:rsidRDefault="00522097">
      <w:pPr>
        <w:pStyle w:val="RBNBasicNoSpace"/>
        <w:spacing w:line="480" w:lineRule="auto"/>
        <w:ind w:firstLine="720"/>
        <w:rPr>
          <w:sz w:val="28"/>
          <w:szCs w:val="28"/>
        </w:rPr>
      </w:pPr>
      <w:r>
        <w:rPr>
          <w:sz w:val="28"/>
          <w:szCs w:val="28"/>
        </w:rPr>
        <w:t xml:space="preserve">The “competent and reliable scientific evidence” standard (or CARSE) is perhaps the most interesting and plausible as a standard going forward.  This is a standard that is borrowed from the Federal Trade Commission, and </w:t>
      </w:r>
      <w:r w:rsidR="007236A2">
        <w:rPr>
          <w:sz w:val="28"/>
          <w:szCs w:val="28"/>
        </w:rPr>
        <w:t xml:space="preserve">so </w:t>
      </w:r>
      <w:r>
        <w:rPr>
          <w:sz w:val="28"/>
          <w:szCs w:val="28"/>
        </w:rPr>
        <w:t>has the benefit of being applied more consistently across classes of speakers</w:t>
      </w:r>
      <w:r w:rsidR="007236A2">
        <w:rPr>
          <w:sz w:val="28"/>
          <w:szCs w:val="28"/>
        </w:rPr>
        <w:t>.  It</w:t>
      </w:r>
      <w:r>
        <w:rPr>
          <w:sz w:val="28"/>
          <w:szCs w:val="28"/>
        </w:rPr>
        <w:t xml:space="preserve"> thus provides a more uniform standard for establishing the truthfulness of scientifically-based claims.  And, because it is applied more generally, there would be a greater opportunity for development </w:t>
      </w:r>
      <w:r w:rsidR="007236A2">
        <w:rPr>
          <w:sz w:val="28"/>
          <w:szCs w:val="28"/>
        </w:rPr>
        <w:t xml:space="preserve">and refinement </w:t>
      </w:r>
      <w:r>
        <w:rPr>
          <w:sz w:val="28"/>
          <w:szCs w:val="28"/>
        </w:rPr>
        <w:t>of the standard, thus avoiding the problems</w:t>
      </w:r>
      <w:r w:rsidR="007236A2">
        <w:rPr>
          <w:sz w:val="28"/>
          <w:szCs w:val="28"/>
        </w:rPr>
        <w:t xml:space="preserve"> (such as the corporate death penalty)</w:t>
      </w:r>
      <w:r>
        <w:rPr>
          <w:sz w:val="28"/>
          <w:szCs w:val="28"/>
        </w:rPr>
        <w:t xml:space="preserve"> that have plagued </w:t>
      </w:r>
      <w:r w:rsidR="007236A2">
        <w:rPr>
          <w:sz w:val="28"/>
          <w:szCs w:val="28"/>
        </w:rPr>
        <w:t xml:space="preserve">judicial </w:t>
      </w:r>
      <w:r>
        <w:rPr>
          <w:sz w:val="28"/>
          <w:szCs w:val="28"/>
        </w:rPr>
        <w:t>development of standards under the FDCA</w:t>
      </w:r>
      <w:r w:rsidR="007236A2">
        <w:rPr>
          <w:sz w:val="28"/>
          <w:szCs w:val="28"/>
        </w:rPr>
        <w:t>.</w:t>
      </w:r>
      <w:r>
        <w:rPr>
          <w:sz w:val="28"/>
          <w:szCs w:val="28"/>
        </w:rPr>
        <w:t xml:space="preserve">  </w:t>
      </w:r>
    </w:p>
    <w:p w:rsidR="00C22468" w:rsidRDefault="00522097">
      <w:pPr>
        <w:pStyle w:val="RBNBasicNoSpace"/>
        <w:spacing w:line="480" w:lineRule="auto"/>
        <w:ind w:firstLine="720"/>
        <w:rPr>
          <w:sz w:val="28"/>
          <w:szCs w:val="28"/>
        </w:rPr>
      </w:pPr>
      <w:r>
        <w:rPr>
          <w:sz w:val="28"/>
          <w:szCs w:val="28"/>
        </w:rPr>
        <w:t xml:space="preserve">CARSE </w:t>
      </w:r>
      <w:r w:rsidR="004B05A6">
        <w:rPr>
          <w:sz w:val="28"/>
          <w:szCs w:val="28"/>
        </w:rPr>
        <w:t xml:space="preserve">allows for </w:t>
      </w:r>
      <w:r>
        <w:rPr>
          <w:sz w:val="28"/>
          <w:szCs w:val="28"/>
        </w:rPr>
        <w:t xml:space="preserve">some flexibility in its application, and has even been construed to require substantial evidence </w:t>
      </w:r>
      <w:r w:rsidR="004B05A6">
        <w:rPr>
          <w:sz w:val="28"/>
          <w:szCs w:val="28"/>
        </w:rPr>
        <w:t xml:space="preserve">criteria </w:t>
      </w:r>
      <w:r>
        <w:rPr>
          <w:sz w:val="28"/>
          <w:szCs w:val="28"/>
        </w:rPr>
        <w:t>in some circumstances</w:t>
      </w:r>
      <w:r w:rsidR="004B05A6">
        <w:rPr>
          <w:sz w:val="28"/>
          <w:szCs w:val="28"/>
        </w:rPr>
        <w:t xml:space="preserve">. </w:t>
      </w:r>
      <w:r>
        <w:rPr>
          <w:sz w:val="28"/>
          <w:szCs w:val="28"/>
        </w:rPr>
        <w:t xml:space="preserve"> </w:t>
      </w:r>
      <w:r w:rsidR="004B05A6">
        <w:rPr>
          <w:sz w:val="28"/>
          <w:szCs w:val="28"/>
        </w:rPr>
        <w:t xml:space="preserve">But </w:t>
      </w:r>
      <w:r>
        <w:rPr>
          <w:sz w:val="28"/>
          <w:szCs w:val="28"/>
        </w:rPr>
        <w:t xml:space="preserve">it gets away from categorical rules, </w:t>
      </w:r>
      <w:r w:rsidR="00047F92">
        <w:rPr>
          <w:sz w:val="28"/>
          <w:szCs w:val="28"/>
        </w:rPr>
        <w:t>instead looking to the expertise of professionals in the relevant area, evaluated in an objective manner, using generally accepted procedures in the field</w:t>
      </w:r>
      <w:r>
        <w:rPr>
          <w:sz w:val="28"/>
          <w:szCs w:val="28"/>
        </w:rPr>
        <w:t xml:space="preserve">.  I would maintain that such flexibility is ultimately required by the First Amendment. </w:t>
      </w:r>
    </w:p>
    <w:p w:rsidR="00C22468" w:rsidRDefault="004B05A6" w:rsidP="007B6738">
      <w:pPr>
        <w:pStyle w:val="RBNBasicNoSpace"/>
        <w:spacing w:line="480" w:lineRule="auto"/>
        <w:ind w:firstLine="720"/>
        <w:rPr>
          <w:sz w:val="28"/>
          <w:szCs w:val="28"/>
        </w:rPr>
      </w:pPr>
      <w:r>
        <w:rPr>
          <w:sz w:val="28"/>
          <w:szCs w:val="28"/>
        </w:rPr>
        <w:t>There is no doubt that these</w:t>
      </w:r>
      <w:r w:rsidR="00522097">
        <w:rPr>
          <w:sz w:val="28"/>
          <w:szCs w:val="28"/>
        </w:rPr>
        <w:t xml:space="preserve"> </w:t>
      </w:r>
      <w:r>
        <w:rPr>
          <w:sz w:val="28"/>
          <w:szCs w:val="28"/>
        </w:rPr>
        <w:t xml:space="preserve">recent </w:t>
      </w:r>
      <w:r w:rsidR="00522097">
        <w:rPr>
          <w:sz w:val="28"/>
          <w:szCs w:val="28"/>
        </w:rPr>
        <w:t>First Amendment developments raise difficult, challenging,</w:t>
      </w:r>
      <w:r>
        <w:rPr>
          <w:sz w:val="28"/>
          <w:szCs w:val="28"/>
        </w:rPr>
        <w:t xml:space="preserve"> and critically important</w:t>
      </w:r>
      <w:r w:rsidR="00522097">
        <w:rPr>
          <w:sz w:val="28"/>
          <w:szCs w:val="28"/>
        </w:rPr>
        <w:t xml:space="preserve"> questions.  </w:t>
      </w:r>
      <w:r>
        <w:rPr>
          <w:sz w:val="28"/>
          <w:szCs w:val="28"/>
        </w:rPr>
        <w:t>T</w:t>
      </w:r>
      <w:r w:rsidR="00522097">
        <w:rPr>
          <w:sz w:val="28"/>
          <w:szCs w:val="28"/>
        </w:rPr>
        <w:t xml:space="preserve">he stakes are quite high, both on the side of avoiding claims based on unreliable studies that </w:t>
      </w:r>
      <w:r>
        <w:rPr>
          <w:sz w:val="28"/>
          <w:szCs w:val="28"/>
        </w:rPr>
        <w:t xml:space="preserve">could </w:t>
      </w:r>
      <w:r w:rsidR="00522097">
        <w:rPr>
          <w:sz w:val="28"/>
          <w:szCs w:val="28"/>
        </w:rPr>
        <w:t xml:space="preserve">have </w:t>
      </w:r>
      <w:r w:rsidR="00522097">
        <w:rPr>
          <w:sz w:val="28"/>
          <w:szCs w:val="28"/>
        </w:rPr>
        <w:lastRenderedPageBreak/>
        <w:t xml:space="preserve">serious adverse health consequences, and </w:t>
      </w:r>
      <w:r>
        <w:rPr>
          <w:sz w:val="28"/>
          <w:szCs w:val="28"/>
        </w:rPr>
        <w:t xml:space="preserve">on </w:t>
      </w:r>
      <w:r w:rsidR="00F63EC8">
        <w:rPr>
          <w:sz w:val="28"/>
          <w:szCs w:val="28"/>
        </w:rPr>
        <w:t xml:space="preserve">the side of </w:t>
      </w:r>
      <w:r w:rsidR="00522097">
        <w:rPr>
          <w:sz w:val="28"/>
          <w:szCs w:val="28"/>
        </w:rPr>
        <w:t>ensuring the free sharing of information that pharmaceutical companies possess about their p</w:t>
      </w:r>
      <w:r w:rsidR="005C55ED">
        <w:rPr>
          <w:sz w:val="28"/>
          <w:szCs w:val="28"/>
        </w:rPr>
        <w:t>roducts – information that is often of better quality than</w:t>
      </w:r>
      <w:bookmarkStart w:id="0" w:name="_GoBack"/>
      <w:bookmarkEnd w:id="0"/>
      <w:r w:rsidR="00522097">
        <w:rPr>
          <w:sz w:val="28"/>
          <w:szCs w:val="28"/>
        </w:rPr>
        <w:t xml:space="preserve"> any other source – and, as the Supreme Court reminded us in Sorrell, information that can literally save lives.</w:t>
      </w:r>
      <w:r w:rsidR="007B6738">
        <w:rPr>
          <w:sz w:val="28"/>
          <w:szCs w:val="28"/>
        </w:rPr>
        <w:t xml:space="preserve">  </w:t>
      </w:r>
      <w:r w:rsidR="00522097">
        <w:rPr>
          <w:sz w:val="28"/>
          <w:szCs w:val="28"/>
        </w:rPr>
        <w:t>It is in no one’s interest for the regulatory system to fall apart.  One would hope that the agency and industry can now work together to help align the regulatory framework with First Amendment values.</w:t>
      </w:r>
    </w:p>
    <w:sectPr w:rsidR="00C22468">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A9" w:rsidRDefault="005543A9">
      <w:r>
        <w:separator/>
      </w:r>
    </w:p>
  </w:endnote>
  <w:endnote w:type="continuationSeparator" w:id="0">
    <w:p w:rsidR="005543A9" w:rsidRDefault="0055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68" w:rsidRDefault="00522097">
    <w:pPr>
      <w:pStyle w:val="Footer"/>
    </w:pPr>
    <w:fldSimple w:instr=" DOCPROPERTY DocXDocID DMS=FileSystem Format=&lt;&lt;NAME&gt;&gt; DATE PRESERVELOCATION \* MERGEFORMAT ">
      <w:r w:rsidR="00660D92" w:rsidRPr="00660D92">
        <w:rPr>
          <w:b/>
          <w:bCs/>
        </w:rPr>
        <w:t>53070616_1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68" w:rsidRDefault="00522097">
    <w:pPr>
      <w:pStyle w:val="Footer"/>
      <w:jc w:val="center"/>
    </w:pPr>
    <w:r>
      <w:fldChar w:fldCharType="begin"/>
    </w:r>
    <w:r>
      <w:instrText xml:space="preserve"> PAGE   \* MERGEFORMAT </w:instrText>
    </w:r>
    <w:r>
      <w:fldChar w:fldCharType="separate"/>
    </w:r>
    <w:r w:rsidR="005C55ED">
      <w:rPr>
        <w:noProof/>
      </w:rPr>
      <w:t>11</w:t>
    </w:r>
    <w:r>
      <w:rPr>
        <w:noProof/>
      </w:rPr>
      <w:fldChar w:fldCharType="end"/>
    </w:r>
  </w:p>
  <w:p w:rsidR="00C22468" w:rsidRDefault="00C22468" w:rsidP="00F63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68" w:rsidRDefault="00C22468" w:rsidP="00F63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A9" w:rsidRDefault="005543A9">
      <w:r>
        <w:separator/>
      </w:r>
    </w:p>
  </w:footnote>
  <w:footnote w:type="continuationSeparator" w:id="0">
    <w:p w:rsidR="005543A9" w:rsidRDefault="005543A9">
      <w:r>
        <w:continuationSeparator/>
      </w:r>
    </w:p>
  </w:footnote>
  <w:footnote w:id="1">
    <w:p w:rsidR="0017672F" w:rsidRPr="0017672F" w:rsidRDefault="0017672F" w:rsidP="0017672F">
      <w:pPr>
        <w:pStyle w:val="RBNBasicNoSpace"/>
        <w:rPr>
          <w:szCs w:val="24"/>
        </w:rPr>
      </w:pPr>
      <w:r w:rsidRPr="0017672F">
        <w:rPr>
          <w:rStyle w:val="FootnoteReference"/>
          <w:szCs w:val="24"/>
        </w:rPr>
        <w:footnoteRef/>
      </w:r>
      <w:r w:rsidRPr="0017672F">
        <w:rPr>
          <w:szCs w:val="24"/>
        </w:rPr>
        <w:t xml:space="preserve"> </w:t>
      </w:r>
      <w:r>
        <w:rPr>
          <w:szCs w:val="24"/>
        </w:rPr>
        <w:t>Douglas Hallward-Driemeier h</w:t>
      </w:r>
      <w:r w:rsidRPr="0017672F">
        <w:rPr>
          <w:szCs w:val="24"/>
        </w:rPr>
        <w:t>ead</w:t>
      </w:r>
      <w:r>
        <w:rPr>
          <w:szCs w:val="24"/>
        </w:rPr>
        <w:t>s</w:t>
      </w:r>
      <w:r w:rsidRPr="0017672F">
        <w:rPr>
          <w:szCs w:val="24"/>
        </w:rPr>
        <w:t xml:space="preserve"> the Appel</w:t>
      </w:r>
      <w:r>
        <w:rPr>
          <w:szCs w:val="24"/>
        </w:rPr>
        <w:t>late and Supreme Court Practice at</w:t>
      </w:r>
      <w:r w:rsidRPr="0017672F">
        <w:rPr>
          <w:szCs w:val="24"/>
        </w:rPr>
        <w:t xml:space="preserve"> Ropes &amp; Gray LLP</w:t>
      </w:r>
      <w:r>
        <w:rPr>
          <w:szCs w:val="24"/>
        </w:rPr>
        <w:t>.  This is an address p</w:t>
      </w:r>
      <w:r w:rsidRPr="0017672F">
        <w:rPr>
          <w:szCs w:val="24"/>
        </w:rPr>
        <w:t xml:space="preserve">resented </w:t>
      </w:r>
      <w:r>
        <w:rPr>
          <w:szCs w:val="24"/>
        </w:rPr>
        <w:t xml:space="preserve">on </w:t>
      </w:r>
      <w:r w:rsidRPr="0017672F">
        <w:rPr>
          <w:szCs w:val="24"/>
        </w:rPr>
        <w:t>October 1, 2015</w:t>
      </w:r>
      <w:r>
        <w:rPr>
          <w:szCs w:val="24"/>
        </w:rPr>
        <w:t xml:space="preserve"> </w:t>
      </w:r>
      <w:r w:rsidRPr="0017672F">
        <w:rPr>
          <w:szCs w:val="24"/>
        </w:rPr>
        <w:t>at the Food and Drug Law Institute</w:t>
      </w:r>
      <w:r>
        <w:rPr>
          <w:szCs w:val="24"/>
        </w:rPr>
        <w:t xml:space="preserve"> </w:t>
      </w:r>
      <w:r w:rsidRPr="0017672F">
        <w:rPr>
          <w:szCs w:val="24"/>
        </w:rPr>
        <w:t>2015 Advertising and Promotion Conference</w:t>
      </w:r>
      <w:r>
        <w:rPr>
          <w:szCs w:val="24"/>
        </w:rPr>
        <w:t xml:space="preserve">, in Washington, DC.  </w:t>
      </w:r>
      <w:r w:rsidR="00603A59">
        <w:t>The views expressed here are the author’s alone, and do not represent those of any client of Ropes &amp; Gray LLP.</w:t>
      </w:r>
      <w:r w:rsidR="00603A59">
        <w:rPr>
          <w:szCs w:val="24"/>
        </w:rPr>
        <w:t xml:space="preserve"> </w:t>
      </w:r>
      <w:r>
        <w:rPr>
          <w:szCs w:val="24"/>
        </w:rPr>
        <w:t>(Copyrighted by Douglas Hallward-Driemeier</w:t>
      </w:r>
      <w:proofErr w:type="gramStart"/>
      <w:r>
        <w:rPr>
          <w:szCs w:val="24"/>
        </w:rPr>
        <w:t>.</w:t>
      </w:r>
      <w:r w:rsidRPr="0017672F">
        <w:rPr>
          <w:szCs w:val="24"/>
        </w:rPr>
        <w:t>©</w:t>
      </w:r>
      <w:proofErr w:type="gramEnd"/>
      <w:r>
        <w:rPr>
          <w:szCs w:val="24"/>
        </w:rPr>
        <w:t>)</w:t>
      </w:r>
    </w:p>
    <w:p w:rsidR="0017672F" w:rsidRDefault="0017672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76F4F"/>
    <w:multiLevelType w:val="multilevel"/>
    <w:tmpl w:val="0E1A4D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7511795"/>
    <w:multiLevelType w:val="multilevel"/>
    <w:tmpl w:val="E3966CF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EE24584"/>
    <w:multiLevelType w:val="multilevel"/>
    <w:tmpl w:val="250814E8"/>
    <w:lvl w:ilvl="0">
      <w:start w:val="1"/>
      <w:numFmt w:val="decimal"/>
      <w:lvlText w:val="%1."/>
      <w:lvlJc w:val="left"/>
      <w:pPr>
        <w:ind w:left="0" w:firstLine="0"/>
      </w:pPr>
      <w:rPr>
        <w:rFonts w:hint="default"/>
      </w:rPr>
    </w:lvl>
    <w:lvl w:ilvl="1">
      <w:start w:val="1"/>
      <w:numFmt w:val="lowerRoman"/>
      <w:lvlText w:val="%2."/>
      <w:lvlJc w:val="left"/>
      <w:pPr>
        <w:ind w:left="720" w:firstLine="0"/>
      </w:pPr>
      <w:rPr>
        <w:rFonts w:hint="default"/>
      </w:rPr>
    </w:lvl>
    <w:lvl w:ilvl="2">
      <w:start w:val="1"/>
      <w:numFmt w:val="upp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411D4152"/>
    <w:multiLevelType w:val="multilevel"/>
    <w:tmpl w:val="832218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4">
    <w:nsid w:val="538F656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1303C4B"/>
    <w:multiLevelType w:val="multilevel"/>
    <w:tmpl w:val="BED212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B72364D"/>
    <w:multiLevelType w:val="multilevel"/>
    <w:tmpl w:val="C6C4EE3C"/>
    <w:lvl w:ilvl="0">
      <w:start w:val="1"/>
      <w:numFmt w:val="decimal"/>
      <w:lvlText w:val="%1"/>
      <w:lvlJc w:val="left"/>
      <w:pPr>
        <w:ind w:left="360" w:hanging="360"/>
      </w:pPr>
      <w:rPr>
        <w:rFonts w:ascii="Courier New" w:hAnsi="Courier New" w:hint="default"/>
      </w:rPr>
    </w:lvl>
    <w:lvl w:ilvl="1">
      <w:start w:val="1"/>
      <w:numFmt w:val="lowerLetter"/>
      <w:lvlText w:val="%2)"/>
      <w:lvlJc w:val="left"/>
      <w:pPr>
        <w:ind w:left="360" w:hanging="360"/>
      </w:pPr>
      <w:rPr>
        <w:rFonts w:hint="default"/>
      </w:rPr>
    </w:lvl>
    <w:lvl w:ilvl="2">
      <w:start w:val="1"/>
      <w:numFmt w:val="decimal"/>
      <w:lvlText w:val="%3)"/>
      <w:lvlJc w:val="left"/>
      <w:pPr>
        <w:ind w:left="360" w:hanging="360"/>
      </w:pPr>
      <w:rPr>
        <w:rFonts w:hint="default"/>
      </w:rPr>
    </w:lvl>
    <w:lvl w:ilvl="3">
      <w:start w:val="1"/>
      <w:numFmt w:val="bullet"/>
      <w:lvlText w:val="o"/>
      <w:lvlJc w:val="left"/>
      <w:pPr>
        <w:ind w:left="360" w:hanging="360"/>
      </w:pPr>
      <w:rPr>
        <w:rFonts w:ascii="Courier New" w:hAnsi="Courier New" w:hint="default"/>
      </w:rPr>
    </w:lvl>
    <w:lvl w:ilvl="4">
      <w:start w:val="1"/>
      <w:numFmt w:val="lowerLetter"/>
      <w:lvlText w:val="(%5)"/>
      <w:lvlJc w:val="left"/>
      <w:pPr>
        <w:ind w:left="4680"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bullet"/>
      <w:lvlText w:val="é"/>
      <w:lvlJc w:val="left"/>
      <w:pPr>
        <w:ind w:left="6120" w:hanging="360"/>
      </w:pPr>
      <w:rPr>
        <w:rFonts w:ascii="Wingdings" w:hAnsi="Wingdings" w:hint="default"/>
      </w:rPr>
    </w:lvl>
  </w:abstractNum>
  <w:num w:numId="1">
    <w:abstractNumId w:val="5"/>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 w:numId="24">
    <w:abstractNumId w:val="4"/>
  </w:num>
  <w:num w:numId="25">
    <w:abstractNumId w:val="6"/>
  </w:num>
  <w:num w:numId="26">
    <w:abstractNumId w:val="3"/>
  </w:num>
  <w:num w:numId="27">
    <w:abstractNumId w:val="3"/>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68"/>
    <w:rsid w:val="00047F92"/>
    <w:rsid w:val="0017672F"/>
    <w:rsid w:val="004B05A6"/>
    <w:rsid w:val="00522097"/>
    <w:rsid w:val="005543A9"/>
    <w:rsid w:val="005C08E8"/>
    <w:rsid w:val="005C55ED"/>
    <w:rsid w:val="00603A59"/>
    <w:rsid w:val="00660D92"/>
    <w:rsid w:val="0069189C"/>
    <w:rsid w:val="006F10A8"/>
    <w:rsid w:val="007236A2"/>
    <w:rsid w:val="007B6738"/>
    <w:rsid w:val="007C2608"/>
    <w:rsid w:val="00BC3F5D"/>
    <w:rsid w:val="00C15E12"/>
    <w:rsid w:val="00C22468"/>
    <w:rsid w:val="00CB5F85"/>
    <w:rsid w:val="00DD284B"/>
    <w:rsid w:val="00F63EC8"/>
    <w:rsid w:val="00FA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25"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nhideWhenUsed="0" w:qFormat="1"/>
    <w:lsdException w:name="Default Paragraph Font" w:uiPriority="1"/>
    <w:lsdException w:name="Body Text" w:semiHidden="0" w:uiPriority="26" w:unhideWhenUsed="0"/>
    <w:lsdException w:name="Subtitl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5"/>
    <w:unhideWhenUsed/>
    <w:rPr>
      <w:szCs w:val="22"/>
    </w:rPr>
  </w:style>
  <w:style w:type="paragraph" w:styleId="Heading1">
    <w:name w:val="heading 1"/>
    <w:basedOn w:val="Normal"/>
    <w:next w:val="Normal"/>
    <w:link w:val="Heading1Char"/>
    <w:uiPriority w:val="9"/>
    <w:semiHidden/>
    <w:unhideWhenUsed/>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contextualSpacing/>
    </w:pPr>
    <w:rPr>
      <w:rFonts w:ascii="Courier New" w:eastAsia="Calibri" w:hAnsi="Courier New" w:cs="Courier New"/>
      <w:noProof/>
      <w:sz w:val="20"/>
      <w:szCs w:val="20"/>
    </w:rPr>
  </w:style>
  <w:style w:type="character" w:customStyle="1" w:styleId="MacroTextChar">
    <w:name w:val="Macro Text Char"/>
    <w:basedOn w:val="DefaultParagraphFont"/>
    <w:link w:val="MacroText"/>
    <w:semiHidden/>
    <w:rPr>
      <w:rFonts w:ascii="Courier New" w:eastAsia="Calibri" w:hAnsi="Courier New" w:cs="Courier New"/>
      <w:noProof/>
      <w:sz w:val="20"/>
      <w:szCs w:val="20"/>
    </w:rPr>
  </w:style>
  <w:style w:type="paragraph" w:customStyle="1" w:styleId="DocID">
    <w:name w:val="DocID"/>
    <w:basedOn w:val="Normal"/>
    <w:uiPriority w:val="25"/>
    <w:rPr>
      <w:sz w:val="16"/>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Cs w:val="22"/>
    </w:rPr>
  </w:style>
  <w:style w:type="character" w:styleId="FootnoteReference">
    <w:name w:val="footnote reference"/>
    <w:basedOn w:val="DefaultParagraphFont"/>
    <w:uiPriority w:val="28"/>
    <w:rPr>
      <w:vertAlign w:val="superscript"/>
    </w:rPr>
  </w:style>
  <w:style w:type="paragraph" w:styleId="FootnoteText">
    <w:name w:val="footnote text"/>
    <w:basedOn w:val="Normal"/>
    <w:link w:val="FootnoteTextChar"/>
    <w:uiPriority w:val="28"/>
    <w:rPr>
      <w:sz w:val="20"/>
      <w:szCs w:val="20"/>
    </w:rPr>
  </w:style>
  <w:style w:type="character" w:customStyle="1" w:styleId="FootnoteTextChar">
    <w:name w:val="Footnote Text Char"/>
    <w:basedOn w:val="DefaultParagraphFont"/>
    <w:link w:val="FootnoteText"/>
    <w:uiPriority w:val="28"/>
    <w:rPr>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Cs w:val="22"/>
    </w:rPr>
  </w:style>
  <w:style w:type="paragraph" w:customStyle="1" w:styleId="R1Para1S">
    <w:name w:val="R1 Para 1&quot; S"/>
    <w:basedOn w:val="Normal"/>
    <w:uiPriority w:val="8"/>
    <w:qFormat/>
    <w:pPr>
      <w:spacing w:after="240"/>
      <w:ind w:firstLine="1440"/>
    </w:pPr>
    <w:rPr>
      <w:rFonts w:eastAsia="Times New Roman" w:cs="Times New Roman"/>
      <w:szCs w:val="24"/>
    </w:rPr>
  </w:style>
  <w:style w:type="paragraph" w:customStyle="1" w:styleId="R2Para1D">
    <w:name w:val="R2 Para 1&quot; D"/>
    <w:basedOn w:val="Normal"/>
    <w:uiPriority w:val="10"/>
    <w:qFormat/>
    <w:pPr>
      <w:spacing w:line="480" w:lineRule="auto"/>
      <w:ind w:firstLine="1440"/>
    </w:pPr>
    <w:rPr>
      <w:rFonts w:eastAsia="Times New Roman" w:cs="Times New Roman"/>
      <w:szCs w:val="24"/>
    </w:rPr>
  </w:style>
  <w:style w:type="paragraph" w:customStyle="1" w:styleId="RBBasic">
    <w:name w:val="RB Basic"/>
    <w:basedOn w:val="Normal"/>
    <w:qFormat/>
    <w:pPr>
      <w:spacing w:after="240"/>
    </w:pPr>
    <w:rPr>
      <w:rFonts w:eastAsia="Times New Roman" w:cs="Times New Roman"/>
      <w:szCs w:val="24"/>
    </w:rPr>
  </w:style>
  <w:style w:type="paragraph" w:customStyle="1" w:styleId="RBNBasicNoSpace">
    <w:name w:val="RBN Basic No Space"/>
    <w:basedOn w:val="Normal"/>
    <w:uiPriority w:val="1"/>
    <w:qFormat/>
  </w:style>
  <w:style w:type="paragraph" w:customStyle="1" w:styleId="RHPara11-12">
    <w:name w:val="RH Para  1&quot; 1-1/2"/>
    <w:basedOn w:val="Normal"/>
    <w:uiPriority w:val="9"/>
    <w:qFormat/>
    <w:pPr>
      <w:spacing w:line="360" w:lineRule="auto"/>
      <w:ind w:firstLine="1440"/>
    </w:pPr>
    <w:rPr>
      <w:rFonts w:eastAsia="Times New Roman" w:cs="Times New Roman"/>
      <w:szCs w:val="24"/>
    </w:rPr>
  </w:style>
  <w:style w:type="paragraph" w:customStyle="1" w:styleId="RHDPara12D">
    <w:name w:val="RHD Para 1/2&quot; D"/>
    <w:basedOn w:val="Normal"/>
    <w:uiPriority w:val="7"/>
    <w:qFormat/>
    <w:pPr>
      <w:spacing w:line="480" w:lineRule="auto"/>
      <w:ind w:firstLine="720"/>
    </w:pPr>
    <w:rPr>
      <w:rFonts w:eastAsia="Times New Roman" w:cs="Times New Roman"/>
      <w:szCs w:val="24"/>
    </w:rPr>
  </w:style>
  <w:style w:type="paragraph" w:customStyle="1" w:styleId="RHHPara121-12">
    <w:name w:val="RHH Para 1/2&quot; 1-1/2"/>
    <w:basedOn w:val="Normal"/>
    <w:uiPriority w:val="6"/>
    <w:qFormat/>
    <w:pPr>
      <w:spacing w:line="360" w:lineRule="auto"/>
      <w:ind w:firstLine="720"/>
    </w:pPr>
  </w:style>
  <w:style w:type="paragraph" w:customStyle="1" w:styleId="RHSPara12S">
    <w:name w:val="RHS Para 1/2&quot; S"/>
    <w:basedOn w:val="Normal"/>
    <w:uiPriority w:val="5"/>
    <w:qFormat/>
    <w:pPr>
      <w:spacing w:after="240"/>
      <w:ind w:firstLine="720"/>
    </w:pPr>
    <w:rPr>
      <w:rFonts w:eastAsia="Times New Roman" w:cs="Times New Roman"/>
      <w:szCs w:val="24"/>
    </w:rPr>
  </w:style>
  <w:style w:type="character" w:customStyle="1" w:styleId="RibItalicBold">
    <w:name w:val="Rib ItalicBold"/>
    <w:basedOn w:val="DefaultParagraphFont"/>
    <w:uiPriority w:val="22"/>
    <w:qFormat/>
    <w:rPr>
      <w:b/>
      <w:i/>
    </w:rPr>
  </w:style>
  <w:style w:type="paragraph" w:customStyle="1" w:styleId="RNDParaNoIndD">
    <w:name w:val="RND Para No Ind D"/>
    <w:basedOn w:val="Normal"/>
    <w:uiPriority w:val="4"/>
    <w:qFormat/>
    <w:pPr>
      <w:spacing w:line="480" w:lineRule="auto"/>
    </w:pPr>
    <w:rPr>
      <w:rFonts w:eastAsia="Times New Roman" w:cs="Times New Roman"/>
      <w:szCs w:val="24"/>
    </w:rPr>
  </w:style>
  <w:style w:type="paragraph" w:customStyle="1" w:styleId="RNHParaNoIndH">
    <w:name w:val="RNH Para No Ind H"/>
    <w:basedOn w:val="Normal"/>
    <w:uiPriority w:val="3"/>
    <w:pPr>
      <w:spacing w:line="360" w:lineRule="auto"/>
    </w:pPr>
  </w:style>
  <w:style w:type="paragraph" w:customStyle="1" w:styleId="RNSParaNoIndS">
    <w:name w:val="RNS Para No Ind S"/>
    <w:basedOn w:val="Normal"/>
    <w:uiPriority w:val="2"/>
    <w:qFormat/>
    <w:pPr>
      <w:spacing w:after="240"/>
    </w:pPr>
    <w:rPr>
      <w:rFonts w:eastAsia="Times New Roman" w:cs="Times New Roman"/>
      <w:szCs w:val="24"/>
    </w:rPr>
  </w:style>
  <w:style w:type="paragraph" w:customStyle="1" w:styleId="RQBlockQuote">
    <w:name w:val="RQ Block Quote"/>
    <w:basedOn w:val="Normal"/>
    <w:next w:val="Normal"/>
    <w:uiPriority w:val="16"/>
    <w:qFormat/>
    <w:pPr>
      <w:spacing w:after="240"/>
      <w:ind w:left="1440" w:right="1440"/>
    </w:pPr>
    <w:rPr>
      <w:rFonts w:eastAsia="Times New Roman" w:cs="Times New Roman"/>
      <w:szCs w:val="24"/>
    </w:rPr>
  </w:style>
  <w:style w:type="paragraph" w:customStyle="1" w:styleId="RQIBlockQuInd">
    <w:name w:val="RQI Block Qu Ind"/>
    <w:basedOn w:val="Normal"/>
    <w:uiPriority w:val="16"/>
    <w:qFormat/>
    <w:pPr>
      <w:spacing w:after="240"/>
      <w:ind w:left="1440" w:right="1440" w:firstLine="720"/>
    </w:pPr>
    <w:rPr>
      <w:rFonts w:eastAsia="Times New Roman" w:cs="Times New Roman"/>
      <w:szCs w:val="24"/>
    </w:rPr>
  </w:style>
  <w:style w:type="paragraph" w:customStyle="1" w:styleId="RSBSubtitle">
    <w:name w:val="RSB Subtitle"/>
    <w:basedOn w:val="Normal"/>
    <w:next w:val="R2Para1D"/>
    <w:uiPriority w:val="13"/>
    <w:qFormat/>
    <w:pPr>
      <w:keepNext/>
      <w:keepLines/>
      <w:spacing w:after="240"/>
    </w:pPr>
    <w:rPr>
      <w:rFonts w:eastAsia="Times New Roman" w:cs="Times New Roman"/>
      <w:b/>
      <w:szCs w:val="24"/>
    </w:rPr>
  </w:style>
  <w:style w:type="paragraph" w:customStyle="1" w:styleId="RSUSubtitle">
    <w:name w:val="RSU Subtitle"/>
    <w:basedOn w:val="Normal"/>
    <w:next w:val="RHDPara12D"/>
    <w:uiPriority w:val="14"/>
    <w:qFormat/>
    <w:pPr>
      <w:keepNext/>
      <w:keepLines/>
      <w:spacing w:after="240"/>
    </w:pPr>
    <w:rPr>
      <w:rFonts w:eastAsia="Times New Roman" w:cs="Times New Roman"/>
      <w:szCs w:val="24"/>
      <w:u w:val="single"/>
    </w:rPr>
  </w:style>
  <w:style w:type="paragraph" w:customStyle="1" w:styleId="RTTitle">
    <w:name w:val="RT Title"/>
    <w:basedOn w:val="Normal"/>
    <w:next w:val="RSBSubtitle"/>
    <w:uiPriority w:val="11"/>
    <w:qFormat/>
    <w:pPr>
      <w:keepNext/>
      <w:keepLines/>
      <w:spacing w:after="240"/>
      <w:jc w:val="center"/>
    </w:pPr>
    <w:rPr>
      <w:caps/>
    </w:rPr>
  </w:style>
  <w:style w:type="paragraph" w:customStyle="1" w:styleId="RTaPTblPara">
    <w:name w:val="RTaP Tbl Para"/>
    <w:basedOn w:val="Normal"/>
    <w:uiPriority w:val="18"/>
    <w:qFormat/>
    <w:pPr>
      <w:spacing w:after="60"/>
    </w:pPr>
    <w:rPr>
      <w:rFonts w:eastAsia="Times New Roman" w:cs="Times New Roman"/>
      <w:szCs w:val="24"/>
    </w:rPr>
  </w:style>
  <w:style w:type="paragraph" w:customStyle="1" w:styleId="RTBTitle">
    <w:name w:val="RTB Title"/>
    <w:basedOn w:val="Normal"/>
    <w:next w:val="RSBSubtitle"/>
    <w:uiPriority w:val="12"/>
    <w:qFormat/>
    <w:pPr>
      <w:keepNext/>
      <w:keepLines/>
      <w:spacing w:after="240"/>
      <w:jc w:val="center"/>
    </w:pPr>
    <w:rPr>
      <w:rFonts w:eastAsia="Times New Roman" w:cs="Times New Roman"/>
      <w:b/>
      <w:caps/>
      <w:szCs w:val="24"/>
    </w:rPr>
  </w:style>
  <w:style w:type="paragraph" w:customStyle="1" w:styleId="RTHTblHead">
    <w:name w:val="RTH Tbl Head"/>
    <w:basedOn w:val="Normal"/>
    <w:uiPriority w:val="18"/>
    <w:qFormat/>
    <w:pPr>
      <w:spacing w:before="180" w:after="180"/>
      <w:jc w:val="center"/>
    </w:pPr>
    <w:rPr>
      <w:rFonts w:eastAsia="Times New Roman" w:cs="Times New Roman"/>
      <w:b/>
      <w:bCs/>
      <w:szCs w:val="24"/>
    </w:rPr>
  </w:style>
  <w:style w:type="paragraph" w:customStyle="1" w:styleId="RTOCTitle">
    <w:name w:val="RTOC Title"/>
    <w:basedOn w:val="Normal"/>
    <w:next w:val="RTPTOCPage"/>
    <w:uiPriority w:val="17"/>
    <w:qFormat/>
    <w:pPr>
      <w:spacing w:after="360"/>
      <w:jc w:val="center"/>
    </w:pPr>
    <w:rPr>
      <w:rFonts w:eastAsia="Times New Roman" w:cs="Times New Roman"/>
      <w:b/>
      <w:caps/>
      <w:szCs w:val="24"/>
    </w:rPr>
  </w:style>
  <w:style w:type="paragraph" w:customStyle="1" w:styleId="RTPTOCPage">
    <w:name w:val="RTP TOC Page"/>
    <w:basedOn w:val="Normal"/>
    <w:next w:val="RNSParaNoIndS"/>
    <w:uiPriority w:val="17"/>
    <w:qFormat/>
    <w:pPr>
      <w:tabs>
        <w:tab w:val="right" w:pos="9360"/>
      </w:tabs>
      <w:spacing w:after="240"/>
      <w:jc w:val="right"/>
    </w:pPr>
    <w:rPr>
      <w:rFonts w:eastAsia="Times New Roman" w:cs="Times New Roman"/>
      <w:b/>
      <w:szCs w:val="24"/>
    </w:rPr>
  </w:style>
  <w:style w:type="table" w:styleId="TableGrid">
    <w:name w:val="Table Grid"/>
    <w:basedOn w:val="TableNormal"/>
    <w:uiPriority w:val="59"/>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43" w:type="dxa"/>
        <w:right w:w="43" w:type="dxa"/>
      </w:tblCellMar>
    </w:tblPr>
    <w:trPr>
      <w:tblHeader/>
    </w:trPr>
  </w:style>
  <w:style w:type="paragraph" w:customStyle="1" w:styleId="PapNum">
    <w:name w:val="Pap Num"/>
    <w:basedOn w:val="Normal"/>
    <w:semiHidden/>
    <w:unhideWhenUsed/>
    <w:rPr>
      <w:rFonts w:eastAsia="Times New Roman" w:cs="Times New Roman"/>
      <w:szCs w:val="24"/>
    </w:rPr>
  </w:style>
  <w:style w:type="paragraph" w:customStyle="1" w:styleId="RSBCSubCtr">
    <w:name w:val="RSBC Sub Ctr"/>
    <w:basedOn w:val="Normal"/>
    <w:next w:val="RHDPara12D"/>
    <w:uiPriority w:val="15"/>
    <w:qFormat/>
    <w:pPr>
      <w:keepNext/>
      <w:keepLines/>
      <w:spacing w:after="240"/>
      <w:jc w:val="center"/>
    </w:pPr>
    <w:rPr>
      <w:rFonts w:eastAsiaTheme="minorHAnsi"/>
      <w:b/>
      <w:lang w:eastAsia="en-US"/>
    </w:rPr>
  </w:style>
  <w:style w:type="paragraph" w:customStyle="1" w:styleId="RSBUSubUnd">
    <w:name w:val="RSBU Sub Und"/>
    <w:basedOn w:val="RSBSubtitle"/>
    <w:next w:val="Normal"/>
    <w:uiPriority w:val="15"/>
    <w:pPr>
      <w:jc w:val="both"/>
    </w:pPr>
    <w:rPr>
      <w:u w:val="single"/>
      <w:lang w:eastAsia="en-US"/>
    </w:rPr>
  </w:style>
  <w:style w:type="paragraph" w:customStyle="1" w:styleId="RSCUSubCtrUnd">
    <w:name w:val="RSCU Sub Ctr Und"/>
    <w:basedOn w:val="RSBCSubCtr"/>
    <w:next w:val="RHDPara12D"/>
    <w:uiPriority w:val="15"/>
    <w:rPr>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sid w:val="00F63EC8"/>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25"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nhideWhenUsed="0" w:qFormat="1"/>
    <w:lsdException w:name="Default Paragraph Font" w:uiPriority="1"/>
    <w:lsdException w:name="Body Text" w:semiHidden="0" w:uiPriority="26" w:unhideWhenUsed="0"/>
    <w:lsdException w:name="Subtitl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5"/>
    <w:unhideWhenUsed/>
    <w:rPr>
      <w:szCs w:val="22"/>
    </w:rPr>
  </w:style>
  <w:style w:type="paragraph" w:styleId="Heading1">
    <w:name w:val="heading 1"/>
    <w:basedOn w:val="Normal"/>
    <w:next w:val="Normal"/>
    <w:link w:val="Heading1Char"/>
    <w:uiPriority w:val="9"/>
    <w:semiHidden/>
    <w:unhideWhenUsed/>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contextualSpacing/>
    </w:pPr>
    <w:rPr>
      <w:rFonts w:ascii="Courier New" w:eastAsia="Calibri" w:hAnsi="Courier New" w:cs="Courier New"/>
      <w:noProof/>
      <w:sz w:val="20"/>
      <w:szCs w:val="20"/>
    </w:rPr>
  </w:style>
  <w:style w:type="character" w:customStyle="1" w:styleId="MacroTextChar">
    <w:name w:val="Macro Text Char"/>
    <w:basedOn w:val="DefaultParagraphFont"/>
    <w:link w:val="MacroText"/>
    <w:semiHidden/>
    <w:rPr>
      <w:rFonts w:ascii="Courier New" w:eastAsia="Calibri" w:hAnsi="Courier New" w:cs="Courier New"/>
      <w:noProof/>
      <w:sz w:val="20"/>
      <w:szCs w:val="20"/>
    </w:rPr>
  </w:style>
  <w:style w:type="paragraph" w:customStyle="1" w:styleId="DocID">
    <w:name w:val="DocID"/>
    <w:basedOn w:val="Normal"/>
    <w:uiPriority w:val="25"/>
    <w:rPr>
      <w:sz w:val="16"/>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Cs w:val="22"/>
    </w:rPr>
  </w:style>
  <w:style w:type="character" w:styleId="FootnoteReference">
    <w:name w:val="footnote reference"/>
    <w:basedOn w:val="DefaultParagraphFont"/>
    <w:uiPriority w:val="28"/>
    <w:rPr>
      <w:vertAlign w:val="superscript"/>
    </w:rPr>
  </w:style>
  <w:style w:type="paragraph" w:styleId="FootnoteText">
    <w:name w:val="footnote text"/>
    <w:basedOn w:val="Normal"/>
    <w:link w:val="FootnoteTextChar"/>
    <w:uiPriority w:val="28"/>
    <w:rPr>
      <w:sz w:val="20"/>
      <w:szCs w:val="20"/>
    </w:rPr>
  </w:style>
  <w:style w:type="character" w:customStyle="1" w:styleId="FootnoteTextChar">
    <w:name w:val="Footnote Text Char"/>
    <w:basedOn w:val="DefaultParagraphFont"/>
    <w:link w:val="FootnoteText"/>
    <w:uiPriority w:val="28"/>
    <w:rPr>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Cs w:val="22"/>
    </w:rPr>
  </w:style>
  <w:style w:type="paragraph" w:customStyle="1" w:styleId="R1Para1S">
    <w:name w:val="R1 Para 1&quot; S"/>
    <w:basedOn w:val="Normal"/>
    <w:uiPriority w:val="8"/>
    <w:qFormat/>
    <w:pPr>
      <w:spacing w:after="240"/>
      <w:ind w:firstLine="1440"/>
    </w:pPr>
    <w:rPr>
      <w:rFonts w:eastAsia="Times New Roman" w:cs="Times New Roman"/>
      <w:szCs w:val="24"/>
    </w:rPr>
  </w:style>
  <w:style w:type="paragraph" w:customStyle="1" w:styleId="R2Para1D">
    <w:name w:val="R2 Para 1&quot; D"/>
    <w:basedOn w:val="Normal"/>
    <w:uiPriority w:val="10"/>
    <w:qFormat/>
    <w:pPr>
      <w:spacing w:line="480" w:lineRule="auto"/>
      <w:ind w:firstLine="1440"/>
    </w:pPr>
    <w:rPr>
      <w:rFonts w:eastAsia="Times New Roman" w:cs="Times New Roman"/>
      <w:szCs w:val="24"/>
    </w:rPr>
  </w:style>
  <w:style w:type="paragraph" w:customStyle="1" w:styleId="RBBasic">
    <w:name w:val="RB Basic"/>
    <w:basedOn w:val="Normal"/>
    <w:qFormat/>
    <w:pPr>
      <w:spacing w:after="240"/>
    </w:pPr>
    <w:rPr>
      <w:rFonts w:eastAsia="Times New Roman" w:cs="Times New Roman"/>
      <w:szCs w:val="24"/>
    </w:rPr>
  </w:style>
  <w:style w:type="paragraph" w:customStyle="1" w:styleId="RBNBasicNoSpace">
    <w:name w:val="RBN Basic No Space"/>
    <w:basedOn w:val="Normal"/>
    <w:uiPriority w:val="1"/>
    <w:qFormat/>
  </w:style>
  <w:style w:type="paragraph" w:customStyle="1" w:styleId="RHPara11-12">
    <w:name w:val="RH Para  1&quot; 1-1/2"/>
    <w:basedOn w:val="Normal"/>
    <w:uiPriority w:val="9"/>
    <w:qFormat/>
    <w:pPr>
      <w:spacing w:line="360" w:lineRule="auto"/>
      <w:ind w:firstLine="1440"/>
    </w:pPr>
    <w:rPr>
      <w:rFonts w:eastAsia="Times New Roman" w:cs="Times New Roman"/>
      <w:szCs w:val="24"/>
    </w:rPr>
  </w:style>
  <w:style w:type="paragraph" w:customStyle="1" w:styleId="RHDPara12D">
    <w:name w:val="RHD Para 1/2&quot; D"/>
    <w:basedOn w:val="Normal"/>
    <w:uiPriority w:val="7"/>
    <w:qFormat/>
    <w:pPr>
      <w:spacing w:line="480" w:lineRule="auto"/>
      <w:ind w:firstLine="720"/>
    </w:pPr>
    <w:rPr>
      <w:rFonts w:eastAsia="Times New Roman" w:cs="Times New Roman"/>
      <w:szCs w:val="24"/>
    </w:rPr>
  </w:style>
  <w:style w:type="paragraph" w:customStyle="1" w:styleId="RHHPara121-12">
    <w:name w:val="RHH Para 1/2&quot; 1-1/2"/>
    <w:basedOn w:val="Normal"/>
    <w:uiPriority w:val="6"/>
    <w:qFormat/>
    <w:pPr>
      <w:spacing w:line="360" w:lineRule="auto"/>
      <w:ind w:firstLine="720"/>
    </w:pPr>
  </w:style>
  <w:style w:type="paragraph" w:customStyle="1" w:styleId="RHSPara12S">
    <w:name w:val="RHS Para 1/2&quot; S"/>
    <w:basedOn w:val="Normal"/>
    <w:uiPriority w:val="5"/>
    <w:qFormat/>
    <w:pPr>
      <w:spacing w:after="240"/>
      <w:ind w:firstLine="720"/>
    </w:pPr>
    <w:rPr>
      <w:rFonts w:eastAsia="Times New Roman" w:cs="Times New Roman"/>
      <w:szCs w:val="24"/>
    </w:rPr>
  </w:style>
  <w:style w:type="character" w:customStyle="1" w:styleId="RibItalicBold">
    <w:name w:val="Rib ItalicBold"/>
    <w:basedOn w:val="DefaultParagraphFont"/>
    <w:uiPriority w:val="22"/>
    <w:qFormat/>
    <w:rPr>
      <w:b/>
      <w:i/>
    </w:rPr>
  </w:style>
  <w:style w:type="paragraph" w:customStyle="1" w:styleId="RNDParaNoIndD">
    <w:name w:val="RND Para No Ind D"/>
    <w:basedOn w:val="Normal"/>
    <w:uiPriority w:val="4"/>
    <w:qFormat/>
    <w:pPr>
      <w:spacing w:line="480" w:lineRule="auto"/>
    </w:pPr>
    <w:rPr>
      <w:rFonts w:eastAsia="Times New Roman" w:cs="Times New Roman"/>
      <w:szCs w:val="24"/>
    </w:rPr>
  </w:style>
  <w:style w:type="paragraph" w:customStyle="1" w:styleId="RNHParaNoIndH">
    <w:name w:val="RNH Para No Ind H"/>
    <w:basedOn w:val="Normal"/>
    <w:uiPriority w:val="3"/>
    <w:pPr>
      <w:spacing w:line="360" w:lineRule="auto"/>
    </w:pPr>
  </w:style>
  <w:style w:type="paragraph" w:customStyle="1" w:styleId="RNSParaNoIndS">
    <w:name w:val="RNS Para No Ind S"/>
    <w:basedOn w:val="Normal"/>
    <w:uiPriority w:val="2"/>
    <w:qFormat/>
    <w:pPr>
      <w:spacing w:after="240"/>
    </w:pPr>
    <w:rPr>
      <w:rFonts w:eastAsia="Times New Roman" w:cs="Times New Roman"/>
      <w:szCs w:val="24"/>
    </w:rPr>
  </w:style>
  <w:style w:type="paragraph" w:customStyle="1" w:styleId="RQBlockQuote">
    <w:name w:val="RQ Block Quote"/>
    <w:basedOn w:val="Normal"/>
    <w:next w:val="Normal"/>
    <w:uiPriority w:val="16"/>
    <w:qFormat/>
    <w:pPr>
      <w:spacing w:after="240"/>
      <w:ind w:left="1440" w:right="1440"/>
    </w:pPr>
    <w:rPr>
      <w:rFonts w:eastAsia="Times New Roman" w:cs="Times New Roman"/>
      <w:szCs w:val="24"/>
    </w:rPr>
  </w:style>
  <w:style w:type="paragraph" w:customStyle="1" w:styleId="RQIBlockQuInd">
    <w:name w:val="RQI Block Qu Ind"/>
    <w:basedOn w:val="Normal"/>
    <w:uiPriority w:val="16"/>
    <w:qFormat/>
    <w:pPr>
      <w:spacing w:after="240"/>
      <w:ind w:left="1440" w:right="1440" w:firstLine="720"/>
    </w:pPr>
    <w:rPr>
      <w:rFonts w:eastAsia="Times New Roman" w:cs="Times New Roman"/>
      <w:szCs w:val="24"/>
    </w:rPr>
  </w:style>
  <w:style w:type="paragraph" w:customStyle="1" w:styleId="RSBSubtitle">
    <w:name w:val="RSB Subtitle"/>
    <w:basedOn w:val="Normal"/>
    <w:next w:val="R2Para1D"/>
    <w:uiPriority w:val="13"/>
    <w:qFormat/>
    <w:pPr>
      <w:keepNext/>
      <w:keepLines/>
      <w:spacing w:after="240"/>
    </w:pPr>
    <w:rPr>
      <w:rFonts w:eastAsia="Times New Roman" w:cs="Times New Roman"/>
      <w:b/>
      <w:szCs w:val="24"/>
    </w:rPr>
  </w:style>
  <w:style w:type="paragraph" w:customStyle="1" w:styleId="RSUSubtitle">
    <w:name w:val="RSU Subtitle"/>
    <w:basedOn w:val="Normal"/>
    <w:next w:val="RHDPara12D"/>
    <w:uiPriority w:val="14"/>
    <w:qFormat/>
    <w:pPr>
      <w:keepNext/>
      <w:keepLines/>
      <w:spacing w:after="240"/>
    </w:pPr>
    <w:rPr>
      <w:rFonts w:eastAsia="Times New Roman" w:cs="Times New Roman"/>
      <w:szCs w:val="24"/>
      <w:u w:val="single"/>
    </w:rPr>
  </w:style>
  <w:style w:type="paragraph" w:customStyle="1" w:styleId="RTTitle">
    <w:name w:val="RT Title"/>
    <w:basedOn w:val="Normal"/>
    <w:next w:val="RSBSubtitle"/>
    <w:uiPriority w:val="11"/>
    <w:qFormat/>
    <w:pPr>
      <w:keepNext/>
      <w:keepLines/>
      <w:spacing w:after="240"/>
      <w:jc w:val="center"/>
    </w:pPr>
    <w:rPr>
      <w:caps/>
    </w:rPr>
  </w:style>
  <w:style w:type="paragraph" w:customStyle="1" w:styleId="RTaPTblPara">
    <w:name w:val="RTaP Tbl Para"/>
    <w:basedOn w:val="Normal"/>
    <w:uiPriority w:val="18"/>
    <w:qFormat/>
    <w:pPr>
      <w:spacing w:after="60"/>
    </w:pPr>
    <w:rPr>
      <w:rFonts w:eastAsia="Times New Roman" w:cs="Times New Roman"/>
      <w:szCs w:val="24"/>
    </w:rPr>
  </w:style>
  <w:style w:type="paragraph" w:customStyle="1" w:styleId="RTBTitle">
    <w:name w:val="RTB Title"/>
    <w:basedOn w:val="Normal"/>
    <w:next w:val="RSBSubtitle"/>
    <w:uiPriority w:val="12"/>
    <w:qFormat/>
    <w:pPr>
      <w:keepNext/>
      <w:keepLines/>
      <w:spacing w:after="240"/>
      <w:jc w:val="center"/>
    </w:pPr>
    <w:rPr>
      <w:rFonts w:eastAsia="Times New Roman" w:cs="Times New Roman"/>
      <w:b/>
      <w:caps/>
      <w:szCs w:val="24"/>
    </w:rPr>
  </w:style>
  <w:style w:type="paragraph" w:customStyle="1" w:styleId="RTHTblHead">
    <w:name w:val="RTH Tbl Head"/>
    <w:basedOn w:val="Normal"/>
    <w:uiPriority w:val="18"/>
    <w:qFormat/>
    <w:pPr>
      <w:spacing w:before="180" w:after="180"/>
      <w:jc w:val="center"/>
    </w:pPr>
    <w:rPr>
      <w:rFonts w:eastAsia="Times New Roman" w:cs="Times New Roman"/>
      <w:b/>
      <w:bCs/>
      <w:szCs w:val="24"/>
    </w:rPr>
  </w:style>
  <w:style w:type="paragraph" w:customStyle="1" w:styleId="RTOCTitle">
    <w:name w:val="RTOC Title"/>
    <w:basedOn w:val="Normal"/>
    <w:next w:val="RTPTOCPage"/>
    <w:uiPriority w:val="17"/>
    <w:qFormat/>
    <w:pPr>
      <w:spacing w:after="360"/>
      <w:jc w:val="center"/>
    </w:pPr>
    <w:rPr>
      <w:rFonts w:eastAsia="Times New Roman" w:cs="Times New Roman"/>
      <w:b/>
      <w:caps/>
      <w:szCs w:val="24"/>
    </w:rPr>
  </w:style>
  <w:style w:type="paragraph" w:customStyle="1" w:styleId="RTPTOCPage">
    <w:name w:val="RTP TOC Page"/>
    <w:basedOn w:val="Normal"/>
    <w:next w:val="RNSParaNoIndS"/>
    <w:uiPriority w:val="17"/>
    <w:qFormat/>
    <w:pPr>
      <w:tabs>
        <w:tab w:val="right" w:pos="9360"/>
      </w:tabs>
      <w:spacing w:after="240"/>
      <w:jc w:val="right"/>
    </w:pPr>
    <w:rPr>
      <w:rFonts w:eastAsia="Times New Roman" w:cs="Times New Roman"/>
      <w:b/>
      <w:szCs w:val="24"/>
    </w:rPr>
  </w:style>
  <w:style w:type="table" w:styleId="TableGrid">
    <w:name w:val="Table Grid"/>
    <w:basedOn w:val="TableNormal"/>
    <w:uiPriority w:val="59"/>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43" w:type="dxa"/>
        <w:right w:w="43" w:type="dxa"/>
      </w:tblCellMar>
    </w:tblPr>
    <w:trPr>
      <w:tblHeader/>
    </w:trPr>
  </w:style>
  <w:style w:type="paragraph" w:customStyle="1" w:styleId="PapNum">
    <w:name w:val="Pap Num"/>
    <w:basedOn w:val="Normal"/>
    <w:semiHidden/>
    <w:unhideWhenUsed/>
    <w:rPr>
      <w:rFonts w:eastAsia="Times New Roman" w:cs="Times New Roman"/>
      <w:szCs w:val="24"/>
    </w:rPr>
  </w:style>
  <w:style w:type="paragraph" w:customStyle="1" w:styleId="RSBCSubCtr">
    <w:name w:val="RSBC Sub Ctr"/>
    <w:basedOn w:val="Normal"/>
    <w:next w:val="RHDPara12D"/>
    <w:uiPriority w:val="15"/>
    <w:qFormat/>
    <w:pPr>
      <w:keepNext/>
      <w:keepLines/>
      <w:spacing w:after="240"/>
      <w:jc w:val="center"/>
    </w:pPr>
    <w:rPr>
      <w:rFonts w:eastAsiaTheme="minorHAnsi"/>
      <w:b/>
      <w:lang w:eastAsia="en-US"/>
    </w:rPr>
  </w:style>
  <w:style w:type="paragraph" w:customStyle="1" w:styleId="RSBUSubUnd">
    <w:name w:val="RSBU Sub Und"/>
    <w:basedOn w:val="RSBSubtitle"/>
    <w:next w:val="Normal"/>
    <w:uiPriority w:val="15"/>
    <w:pPr>
      <w:jc w:val="both"/>
    </w:pPr>
    <w:rPr>
      <w:u w:val="single"/>
      <w:lang w:eastAsia="en-US"/>
    </w:rPr>
  </w:style>
  <w:style w:type="paragraph" w:customStyle="1" w:styleId="RSCUSubCtrUnd">
    <w:name w:val="RSCU Sub Ctr Und"/>
    <w:basedOn w:val="RSBCSubCtr"/>
    <w:next w:val="RHDPara12D"/>
    <w:uiPriority w:val="15"/>
    <w:rPr>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sid w:val="00F63EC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2112</Words>
  <Characters>13038</Characters>
  <Application>Microsoft Office Word</Application>
  <DocSecurity>0</DocSecurity>
  <Lines>183</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Parisi</dc:creator>
  <cp:lastModifiedBy>Ray</cp:lastModifiedBy>
  <cp:revision>2</cp:revision>
  <cp:lastPrinted>2015-10-04T23:29:00Z</cp:lastPrinted>
  <dcterms:created xsi:type="dcterms:W3CDTF">2015-10-05T21:17:00Z</dcterms:created>
  <dcterms:modified xsi:type="dcterms:W3CDTF">2015-10-05T21:17:00Z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Location">
    <vt:lpwstr>Every Page</vt:lpwstr>
  </property>
  <property fmtid="{D5CDD505-2E9C-101B-9397-08002B2CF9AE}" pid="3" name="DocXFormat">
    <vt:lpwstr>DefaultFormat</vt:lpwstr>
  </property>
  <property fmtid="{D5CDD505-2E9C-101B-9397-08002B2CF9AE}" pid="4" name="DOCXDOCID">
    <vt:lpwstr>53070616_1</vt:lpwstr>
  </property>
</Properties>
</file>